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pPr>
      <w:hyperlink w:anchor="toc_page">
        <w:bookmarkStart w:id="0" w:name="plmr-20260930.htm"/>
        <w:bookmarkStart w:id="1" w:name="ksplmr20260930"/>
        <w:bookmarkEnd w:id="0"/>
        <w:bookmarkEnd w:id="1"/>
        <w:r>
          <w:rPr>
            <w:rStyle w:val="InternetLink"/>
            <w:rFonts w:ascii="Times New Roman" w:hAnsi="Times New Roman"/>
            <w:b/>
            <w:color w:val="0000FF"/>
            <w:sz w:val="20"/>
            <w:u w:val="single"/>
          </w:rPr>
          <w:t>Table of Contents</w:t>
        </w:r>
      </w:hyperlink>
    </w:p>
    <w:p>
      <w:pPr>
        <w:pStyle w:val="TextBody"/>
        <w:bidi w:val="0"/>
        <w:spacing w:lineRule="auto" w:line="273"/>
        <w:jc w:val="center"/>
      </w:pPr>
      <w:r>
        <w:t> </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UNITED STATES</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lineRule="auto" w:line="273"/>
        <w:jc w:val="center"/>
        <w:rPr>
          <w:rFonts w:ascii="Times New Roman" w:hAnsi="Times New Roman"/>
          <w:b/>
          <w:color w:val="000000"/>
          <w:sz w:val="28"/>
        </w:rPr>
      </w:pPr>
      <w:r>
        <w:rPr>
          <w:rFonts w:ascii="Times New Roman" w:hAnsi="Times New Roman"/>
          <w:b/>
          <w:color w:val="000000"/>
          <w:sz w:val="28"/>
        </w:rPr>
        <w:t>FORM 10-Q</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373"/>
        <w:gridCol w:w="9708"/>
      </w:tblGrid>
      <w:tr>
        <w:tc>
          <w:tcPr>
            <w:tcW w:w="1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08" w:type="dxa"/>
            <w:tcBorders/>
            <w:vAlign w:val="center"/>
          </w:tcPr>
          <w:p>
            <w:pPr>
              <w:pStyle w:val="TableContents"/>
              <w:bidi w:val="0"/>
              <w:spacing w:before="0" w:after="283"/>
              <w:jc w:val="left"/>
              <w:rPr>
                <w:sz w:val="4"/>
                <w:szCs w:val="4"/>
              </w:rPr>
            </w:pPr>
            <w:r>
              <w:rPr>
                <w:sz w:val="4"/>
                <w:szCs w:val="4"/>
              </w:rPr>
            </w:r>
          </w:p>
        </w:tc>
      </w:tr>
      <w:t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xml:space="preserve">☒ </w:t>
            </w:r>
          </w:p>
        </w:tc>
        <w:tc>
          <w:tcPr>
            <w:tcW w:w="970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For the quarterly period ended September 30, 2026</w:t>
      </w:r>
    </w:p>
    <w:p>
      <w:pPr>
        <w:pStyle w:val="TextBody"/>
        <w:bidi w:val="0"/>
        <w:spacing w:lineRule="auto" w:line="273" w:before="120" w:after="283"/>
        <w:jc w:val="center"/>
        <w:rPr>
          <w:rFonts w:ascii="Times New Roman" w:hAnsi="Times New Roman"/>
          <w:color w:val="000000"/>
          <w:sz w:val="20"/>
        </w:rPr>
      </w:pPr>
      <w:r>
        <w:rPr>
          <w:rFonts w:ascii="Times New Roman" w:hAnsi="Times New Roman"/>
          <w:color w:val="000000"/>
          <w:sz w:val="20"/>
        </w:rPr>
        <w:t>or</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124"/>
        <w:gridCol w:w="374"/>
        <w:gridCol w:w="9707"/>
      </w:tblGrid>
      <w:tr>
        <w:tc>
          <w:tcPr>
            <w:tcW w:w="12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707" w:type="dxa"/>
            <w:tcBorders/>
            <w:vAlign w:val="center"/>
          </w:tcPr>
          <w:p>
            <w:pPr>
              <w:pStyle w:val="TableContents"/>
              <w:bidi w:val="0"/>
              <w:spacing w:before="0" w:after="283"/>
              <w:jc w:val="left"/>
              <w:rPr>
                <w:sz w:val="4"/>
                <w:szCs w:val="4"/>
              </w:rPr>
            </w:pPr>
            <w:r>
              <w:rPr>
                <w:sz w:val="4"/>
                <w:szCs w:val="4"/>
              </w:rPr>
            </w:r>
          </w:p>
        </w:tc>
      </w:tr>
      <w:t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52" w:before="0" w:after="283"/>
              <w:jc w:val="both"/>
              <w:rPr>
                <w:color w:val="000000"/>
              </w:rPr>
            </w:pPr>
            <w:r>
              <w:rPr>
                <w:color w:val="000000"/>
              </w:rPr>
              <w:t xml:space="preserve">☐ </w:t>
            </w:r>
          </w:p>
        </w:tc>
        <w:tc>
          <w:tcPr>
            <w:tcW w:w="9707"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lineRule="auto" w:line="273"/>
        <w:jc w:val="left"/>
        <w:rPr>
          <w:rFonts w:ascii="Times New Roman" w:hAnsi="Times New Roman"/>
          <w:color w:val="000000"/>
          <w:sz w:val="20"/>
        </w:rPr>
      </w:pPr>
      <w:r>
        <w:rPr>
          <w:rFonts w:ascii="Times New Roman" w:hAnsi="Times New Roman"/>
          <w:color w:val="000000"/>
          <w:sz w:val="20"/>
        </w:rPr>
        <w:t>For the transition period from ___________ to ___________</w:t>
      </w:r>
    </w:p>
    <w:p>
      <w:pPr>
        <w:pStyle w:val="TextBody"/>
        <w:bidi w:val="0"/>
        <w:spacing w:lineRule="auto" w:line="273"/>
        <w:jc w:val="left"/>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Commission File Number: 001-38873</w:t>
      </w:r>
    </w:p>
    <w:p>
      <w:pPr>
        <w:pStyle w:val="TextBody"/>
        <w:bidi w:val="0"/>
        <w:spacing w:lineRule="auto" w:line="273" w:before="120" w:after="283"/>
        <w:jc w:val="center"/>
        <w:rPr>
          <w:rFonts w:ascii="Times New Roman" w:hAnsi="Times New Roman"/>
          <w:b/>
          <w:color w:val="000000"/>
          <w:sz w:val="40"/>
        </w:rPr>
      </w:pPr>
      <w:r>
        <w:rPr>
          <w:rFonts w:ascii="Times New Roman" w:hAnsi="Times New Roman"/>
          <w:b/>
          <w:color w:val="000000"/>
          <w:sz w:val="40"/>
        </w:rPr>
        <w:t>Palomar Holdings, Inc.</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lineRule="auto" w:line="273"/>
        <w:jc w:val="left"/>
      </w:pPr>
      <w:r>
        <w:t> </w:t>
      </w:r>
    </w:p>
    <w:tbl>
      <w:tblPr>
        <w:tblW w:w="6441" w:type="dxa"/>
        <w:jc w:val="left"/>
        <w:tblInd w:w="0" w:type="dxa"/>
        <w:tblLayout w:type="fixed"/>
        <w:tblCellMar>
          <w:top w:w="28" w:type="dxa"/>
          <w:left w:w="28" w:type="dxa"/>
          <w:bottom w:w="28" w:type="dxa"/>
          <w:right w:w="28" w:type="dxa"/>
        </w:tblCellMar>
      </w:tblPr>
      <w:tblGrid>
        <w:gridCol w:w="3301"/>
        <w:gridCol w:w="109"/>
        <w:gridCol w:w="3031"/>
      </w:tblGrid>
      <w:t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c>
          <w:tcPr>
            <w:tcW w:w="3301"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1"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83-3972551</w:t>
            </w:r>
          </w:p>
        </w:tc>
      </w:tr>
      <w:tr>
        <w:tc>
          <w:tcPr>
            <w:tcW w:w="330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c>
          <w:tcPr>
            <w:tcW w:w="33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3301" w:type="dxa"/>
            <w:tcBorders>
              <w:bottom w:val="single" w:sz="6"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7979 Ivanhoe Avenue, Suite 500</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La Jolla, California</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1"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92037</w:t>
            </w:r>
          </w:p>
        </w:tc>
      </w:tr>
      <w:tr>
        <w:tc>
          <w:tcPr>
            <w:tcW w:w="330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lineRule="auto" w:line="273"/>
        <w:jc w:val="left"/>
      </w:pPr>
      <w: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(619) 567-5290</w:t>
      </w:r>
    </w:p>
    <w:p>
      <w:pPr>
        <w:pStyle w:val="TextBody"/>
        <w:pBdr>
          <w:bottom w:val="single" w:sz="2" w:space="1" w:color="000000"/>
        </w:pBdr>
        <w:bidi w:val="0"/>
        <w:spacing w:lineRule="atLeast" w:line="142"/>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lineRule="auto" w:line="273"/>
        <w:jc w:val="left"/>
      </w:pPr>
      <w:r>
        <w:t> </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c>
          <w:tcPr>
            <w:tcW w:w="37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bottom w:val="single" w:sz="6" w:space="0" w:color="000000"/>
              <w:right w:val="single" w:sz="6" w:space="0" w:color="000000"/>
            </w:tcBorders>
            <w:tcMar>
              <w:lef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6" w:space="0" w:color="000000"/>
              <w:bottom w:val="single" w:sz="6" w:space="0" w:color="000000"/>
              <w:right w:val="single" w:sz="6" w:space="0" w:color="000000"/>
            </w:tcBorders>
            <w:tcMar>
              <w:lef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c>
          <w:tcPr>
            <w:tcW w:w="3706" w:type="dxa"/>
            <w:tcBorders>
              <w:left w:val="single" w:sz="6" w:space="0" w:color="000000"/>
              <w:bottom w:val="single" w:sz="6" w:space="0" w:color="000000"/>
              <w:right w:val="single" w:sz="6" w:space="0" w:color="000000"/>
            </w:tcBorders>
            <w:tcMar>
              <w:top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PLMR</w:t>
            </w:r>
          </w:p>
        </w:tc>
        <w:tc>
          <w:tcPr>
            <w:tcW w:w="3706" w:type="dxa"/>
            <w:tcBorders>
              <w:bottom w:val="single" w:sz="6" w:space="0" w:color="000000"/>
              <w:right w:val="single" w:sz="6" w:space="0" w:color="000000"/>
            </w:tcBorders>
            <w:tcMar>
              <w:top w:w="0" w:type="dxa"/>
              <w:lef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lineRule="auto" w:line="273"/>
        <w:jc w:val="left"/>
      </w:pPr>
      <w: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73" w:before="20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73" w:before="20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73"/>
        <w:jc w:val="left"/>
      </w:pPr>
      <w:r>
        <w:t> </w:t>
      </w:r>
    </w:p>
    <w:tbl>
      <w:tblPr>
        <w:tblW w:w="5177" w:type="dxa"/>
        <w:jc w:val="left"/>
        <w:tblInd w:w="0" w:type="dxa"/>
        <w:tblLayout w:type="fixed"/>
        <w:tblCellMar>
          <w:top w:w="28" w:type="dxa"/>
          <w:left w:w="28" w:type="dxa"/>
          <w:bottom w:w="28" w:type="dxa"/>
          <w:right w:w="28" w:type="dxa"/>
        </w:tblCellMar>
      </w:tblPr>
      <w:tblGrid>
        <w:gridCol w:w="2596"/>
        <w:gridCol w:w="2581"/>
      </w:tblGrid>
      <w:tr>
        <w:tc>
          <w:tcPr>
            <w:tcW w:w="259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c>
          <w:tcPr>
            <w:tcW w:w="259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Accelerated filer ☐</w:t>
            </w:r>
          </w:p>
        </w:tc>
      </w:tr>
      <w:tr>
        <w:tc>
          <w:tcPr>
            <w:tcW w:w="259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xml:space="preserve">Non-accelerated filer ☐ </w:t>
            </w:r>
          </w:p>
        </w:tc>
        <w:tc>
          <w:tcPr>
            <w:tcW w:w="258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Smaller reporting company ☐</w:t>
            </w:r>
          </w:p>
        </w:tc>
      </w:tr>
      <w:tr>
        <w:tc>
          <w:tcPr>
            <w:tcW w:w="259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 xml:space="preserve">Emerging growth company ☐ </w:t>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jc w:val="left"/>
      </w:pPr>
      <w:r>
        <w:t> </w:t>
      </w:r>
    </w:p>
    <w:p>
      <w:pPr>
        <w:pStyle w:val="TextBody"/>
        <w:bidi w:val="0"/>
        <w:spacing w:lineRule="auto" w:line="273"/>
        <w:jc w:val="both"/>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Act). Yes ☐ No ☒ </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Number of shares of the registrant’s common stock outstanding at November 4, 2026: 26,294,949</w:t>
      </w:r>
    </w:p>
    <w:p>
      <w:pPr>
        <w:pStyle w:val="TextBody"/>
        <w:pBdr>
          <w:bottom w:val="double" w:sz="6" w:space="1" w:color="000000"/>
        </w:pBdr>
        <w:bidi w:val="0"/>
        <w:spacing w:lineRule="auto" w:line="273"/>
        <w:jc w:val="both"/>
      </w:pPr>
      <w:r>
        <w:t> </w:t>
      </w:r>
    </w:p>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w:t>
      </w:r>
    </w:p>
    <w:p>
      <w:pPr>
        <w:pStyle w:val="TextBody"/>
        <w:bidi w:val="0"/>
        <w:spacing w:lineRule="auto" w:line="273"/>
        <w:jc w:val="left"/>
      </w:pPr>
      <w:r>
        <w:t> </w:t>
      </w:r>
    </w:p>
    <w:p>
      <w:pPr>
        <w:pStyle w:val="TextBody"/>
        <w:bidi w:val="0"/>
        <w:spacing w:lineRule="auto" w:line="273"/>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697"/>
        <w:gridCol w:w="8936"/>
        <w:gridCol w:w="572"/>
      </w:tblGrid>
      <w:tr>
        <w:tc>
          <w:tcPr>
            <w:tcW w:w="697" w:type="dxa"/>
            <w:tcBorders/>
            <w:vAlign w:val="center"/>
          </w:tcPr>
          <w:p>
            <w:pPr>
              <w:pStyle w:val="TableContents"/>
              <w:bidi w:val="0"/>
              <w:spacing w:before="0" w:after="283"/>
              <w:jc w:val="left"/>
              <w:rPr>
                <w:sz w:val="4"/>
                <w:szCs w:val="4"/>
              </w:rPr>
            </w:pPr>
            <w:r>
              <w:rPr>
                <w:sz w:val="4"/>
                <w:szCs w:val="4"/>
              </w:rPr>
            </w:r>
          </w:p>
        </w:tc>
        <w:tc>
          <w:tcPr>
            <w:tcW w:w="89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572"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Page</w:t>
            </w:r>
          </w:p>
        </w:tc>
      </w:tr>
      <w:tr>
        <w:tc>
          <w:tcPr>
            <w:tcW w:w="9633" w:type="dxa"/>
            <w:gridSpan w:val="2"/>
            <w:tcBorders/>
            <w:tcMar>
              <w:top w:w="0" w:type="dxa"/>
              <w:left w:w="0" w:type="dxa"/>
              <w:bottom w:w="0" w:type="dxa"/>
              <w:right w:w="0" w:type="dxa"/>
            </w:tcMar>
            <w:vAlign w:val="center"/>
          </w:tcPr>
          <w:p>
            <w:pPr>
              <w:pStyle w:val="TableContents"/>
              <w:bidi w:val="0"/>
              <w:spacing w:lineRule="auto" w:line="252" w:before="0" w:after="283"/>
              <w:jc w:val="left"/>
            </w:pPr>
            <w:hyperlink w:anchor="part_i">
              <w:r>
                <w:rPr>
                  <w:rStyle w:val="InternetLink"/>
                  <w:rFonts w:ascii="Times New Roman" w:hAnsi="Times New Roman"/>
                  <w:b/>
                  <w:color w:val="0000FF"/>
                  <w:sz w:val="20"/>
                  <w:u w:val="single"/>
                </w:rPr>
                <w:t>PART</w:t>
              </w:r>
            </w:hyperlink>
            <w:hyperlink w:anchor="part_i">
              <w:r>
                <w:rPr>
                  <w:rStyle w:val="InternetLink"/>
                  <w:rFonts w:ascii="Times New Roman" w:hAnsi="Times New Roman"/>
                  <w:color w:val="0000FF"/>
                  <w:sz w:val="20"/>
                  <w:u w:val="single"/>
                </w:rPr>
                <w:t xml:space="preserve"> </w:t>
              </w:r>
            </w:hyperlink>
            <w:hyperlink w:anchor="part_i">
              <w:r>
                <w:rPr>
                  <w:rStyle w:val="InternetLink"/>
                  <w:rFonts w:ascii="Times New Roman" w:hAnsi="Times New Roman"/>
                  <w:b/>
                  <w:color w:val="0000FF"/>
                  <w:sz w:val="20"/>
                  <w:u w:val="single"/>
                </w:rPr>
                <w:t>I. FINANCIAL INFORMATION</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1.</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financial_statements">
              <w:r>
                <w:rPr>
                  <w:rStyle w:val="InternetLink"/>
                  <w:rFonts w:ascii="Times New Roman" w:hAnsi="Times New Roman"/>
                  <w:color w:val="0000FF"/>
                  <w:sz w:val="20"/>
                  <w:u w:val="single"/>
                </w:rPr>
                <w:t>Financial Statements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3</w:t>
            </w:r>
          </w:p>
        </w:tc>
      </w:tr>
      <w:tr>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consolidated_balance_sheets">
              <w:r>
                <w:rPr>
                  <w:rStyle w:val="InternetLink"/>
                  <w:rFonts w:ascii="Times New Roman" w:hAnsi="Times New Roman"/>
                  <w:color w:val="0000FF"/>
                  <w:sz w:val="20"/>
                  <w:u w:val="single"/>
                </w:rPr>
                <w:t>Condensed Consolidated Balance Sheets at September 30, 2026 (Unaudited) and December 31, 2025</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3</w:t>
            </w:r>
          </w:p>
        </w:tc>
      </w:tr>
      <w:tr>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statements_of_income">
              <w:r>
                <w:rPr>
                  <w:rStyle w:val="InternetLink"/>
                  <w:rFonts w:ascii="Times New Roman" w:hAnsi="Times New Roman"/>
                  <w:color w:val="0000FF"/>
                  <w:sz w:val="20"/>
                  <w:u w:val="single"/>
                </w:rPr>
                <w:t>Condensed Consolidated Statements of Income and Comprehensive Income (Unaudited) for the Three and Nine Months Ended September 30, 2026 and 2025</w:t>
              </w:r>
            </w:hyperlink>
            <w:hyperlink w:anchor="statements_of_income">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w:t>
            </w:r>
          </w:p>
        </w:tc>
      </w:tr>
      <w:tr>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statements_of_equity">
              <w:r>
                <w:rPr>
                  <w:rStyle w:val="InternetLink"/>
                  <w:rFonts w:ascii="Times New Roman" w:hAnsi="Times New Roman"/>
                  <w:color w:val="0000FF"/>
                  <w:sz w:val="20"/>
                  <w:u w:val="single"/>
                </w:rPr>
                <w:t>Condensed Consolidated Statements of Changes in Stockholders’ Equity (Unaudited) for the Three and Nine Months Ended September 30, 2026 and 2025</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5</w:t>
            </w:r>
          </w:p>
        </w:tc>
      </w:tr>
      <w:tr>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statements_of_cash_flows">
              <w:r>
                <w:rPr>
                  <w:rStyle w:val="InternetLink"/>
                  <w:rFonts w:ascii="Times New Roman" w:hAnsi="Times New Roman"/>
                  <w:color w:val="0000FF"/>
                  <w:sz w:val="20"/>
                  <w:u w:val="single"/>
                </w:rPr>
                <w:t>Condensed Consolidated Statements of Cash Flows (Unaudited) for the Nine Months Ended September 30, 2026 and 2025</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w:t>
            </w:r>
          </w:p>
        </w:tc>
      </w:tr>
      <w:tr>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notes_to_consolidated_financial_stmt">
              <w:r>
                <w:rPr>
                  <w:rStyle w:val="InternetLink"/>
                  <w:rFonts w:ascii="Times New Roman" w:hAnsi="Times New Roman"/>
                  <w:color w:val="0000FF"/>
                  <w:sz w:val="20"/>
                  <w:u w:val="single"/>
                </w:rPr>
                <w:t>Notes to Condensed Consolidated Financial Statements (Unaudited)</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8</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2.</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26</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3.</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48</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4.</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item_4_controls_and_procedures">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48</w:t>
            </w:r>
          </w:p>
        </w:tc>
      </w:tr>
      <w:tr>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9633" w:type="dxa"/>
            <w:gridSpan w:val="2"/>
            <w:tcBorders/>
            <w:tcMar>
              <w:top w:w="0" w:type="dxa"/>
              <w:left w:w="0" w:type="dxa"/>
              <w:bottom w:w="0" w:type="dxa"/>
              <w:right w:w="0" w:type="dxa"/>
            </w:tcMar>
            <w:vAlign w:val="center"/>
          </w:tcPr>
          <w:p>
            <w:pPr>
              <w:pStyle w:val="TableContents"/>
              <w:bidi w:val="0"/>
              <w:spacing w:lineRule="auto" w:line="252" w:before="0" w:after="283"/>
              <w:jc w:val="left"/>
            </w:pPr>
            <w:hyperlink w:anchor="part_ii_other_information">
              <w:r>
                <w:rPr>
                  <w:rStyle w:val="InternetLink"/>
                  <w:rFonts w:ascii="Times New Roman" w:hAnsi="Times New Roman"/>
                  <w:b/>
                  <w:color w:val="0000FF"/>
                  <w:sz w:val="20"/>
                  <w:u w:val="single"/>
                </w:rPr>
                <w:t>PART</w:t>
              </w:r>
            </w:hyperlink>
            <w:hyperlink w:anchor="part_ii_other_information">
              <w:r>
                <w:rPr>
                  <w:rStyle w:val="InternetLink"/>
                  <w:rFonts w:ascii="Times New Roman" w:hAnsi="Times New Roman"/>
                  <w:color w:val="0000FF"/>
                  <w:sz w:val="20"/>
                  <w:u w:val="single"/>
                </w:rPr>
                <w:t xml:space="preserve"> </w:t>
              </w:r>
            </w:hyperlink>
            <w:hyperlink w:anchor="part_ii_other_information">
              <w:r>
                <w:rPr>
                  <w:rStyle w:val="InternetLink"/>
                  <w:rFonts w:ascii="Times New Roman" w:hAnsi="Times New Roman"/>
                  <w:b/>
                  <w:color w:val="0000FF"/>
                  <w:sz w:val="20"/>
                  <w:u w:val="single"/>
                </w:rPr>
                <w:t>II. OTHER INFORMATION</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6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1.</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item_1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49</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1A.</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item_1a_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49</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2.</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71</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3.</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item_3_defaults_upon">
              <w:r>
                <w:rPr>
                  <w:rStyle w:val="InternetLink"/>
                  <w:rFonts w:ascii="Times New Roman" w:hAnsi="Times New Roman"/>
                  <w:color w:val="0000FF"/>
                  <w:sz w:val="20"/>
                  <w:u w:val="single"/>
                </w:rPr>
                <w:t>Defaults Upon Senior Securities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71</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4.</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item_4_mine_safety">
              <w:r>
                <w:rPr>
                  <w:rStyle w:val="InternetLink"/>
                  <w:rFonts w:ascii="Times New Roman" w:hAnsi="Times New Roman"/>
                  <w:color w:val="0000FF"/>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71</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5.</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item_5_other_information">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71</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Item 6.</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item_6_exhibits">
              <w:r>
                <w:rPr>
                  <w:rStyle w:val="InternetLink"/>
                  <w:rFonts w:ascii="Times New Roman" w:hAnsi="Times New Roman"/>
                  <w:color w:val="0000FF"/>
                  <w:sz w:val="20"/>
                  <w:u w:val="single"/>
                </w:rPr>
                <w:t>Exhibits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72</w:t>
            </w:r>
          </w:p>
        </w:tc>
      </w:tr>
      <w:tr>
        <w:tc>
          <w:tcPr>
            <w:tcW w:w="697"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8936" w:type="dxa"/>
            <w:tcBorders/>
            <w:tcMar>
              <w:top w:w="0" w:type="dxa"/>
              <w:left w:w="0" w:type="dxa"/>
              <w:bottom w:w="0" w:type="dxa"/>
              <w:right w:w="0" w:type="dxa"/>
            </w:tcMar>
            <w:vAlign w:val="center"/>
          </w:tcPr>
          <w:p>
            <w:pPr>
              <w:pStyle w:val="TableContents"/>
              <w:bidi w:val="0"/>
              <w:spacing w:lineRule="auto" w:line="252" w:before="0" w:after="283"/>
              <w:jc w:val="left"/>
            </w:pPr>
            <w:hyperlink w:anchor="signatures">
              <w:r>
                <w:rPr>
                  <w:rStyle w:val="InternetLink"/>
                  <w:rFonts w:ascii="Times New Roman" w:hAnsi="Times New Roman"/>
                  <w:color w:val="0000FF"/>
                  <w:sz w:val="20"/>
                  <w:u w:val="single"/>
                </w:rPr>
                <w:t>Signatures</w:t>
              </w:r>
            </w:hyperlink>
          </w:p>
        </w:tc>
        <w:tc>
          <w:tcPr>
            <w:tcW w:w="572"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EE"/>
                <w:sz w:val="20"/>
              </w:rPr>
            </w:pPr>
            <w:r>
              <w:rPr>
                <w:rFonts w:ascii="Times New Roman" w:hAnsi="Times New Roman"/>
                <w:color w:val="0000EE"/>
                <w:sz w:val="20"/>
              </w:rPr>
              <w:t>73</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color w:val="000000"/>
          <w:sz w:val="20"/>
        </w:rPr>
      </w:pPr>
      <w:bookmarkStart w:id="3" w:name="part_i"/>
      <w:bookmarkEnd w:id="3"/>
      <w:r>
        <w:rPr>
          <w:rFonts w:ascii="Times New Roman" w:hAnsi="Times New Roman"/>
          <w:b/>
          <w:color w:val="000000"/>
          <w:sz w:val="20"/>
        </w:rPr>
        <w:t>Part I: FINANCIAL INFORMATION</w:t>
      </w:r>
    </w:p>
    <w:p>
      <w:pPr>
        <w:pStyle w:val="TextBody"/>
        <w:bidi w:val="0"/>
        <w:spacing w:lineRule="auto" w:line="273"/>
        <w:jc w:val="left"/>
        <w:rPr>
          <w:rFonts w:ascii="Times New Roman" w:hAnsi="Times New Roman"/>
          <w:b/>
          <w:color w:val="000000"/>
          <w:sz w:val="20"/>
        </w:rPr>
      </w:pPr>
      <w:bookmarkStart w:id="4" w:name="financial_statements"/>
      <w:bookmarkEnd w:id="4"/>
      <w:r>
        <w:rPr>
          <w:rFonts w:ascii="Times New Roman" w:hAnsi="Times New Roman"/>
          <w:b/>
          <w:color w:val="000000"/>
          <w:sz w:val="20"/>
        </w:rPr>
        <w:t>Item 1: Financial Statements</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 except shares and par value data)</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6947"/>
        <w:gridCol w:w="146"/>
        <w:gridCol w:w="222"/>
        <w:gridCol w:w="980"/>
        <w:gridCol w:w="166"/>
        <w:gridCol w:w="146"/>
        <w:gridCol w:w="218"/>
        <w:gridCol w:w="967"/>
        <w:gridCol w:w="413"/>
      </w:tblGrid>
      <w:tr>
        <w:tc>
          <w:tcPr>
            <w:tcW w:w="6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Fixed maturity securities available for sale, at fair value (amortized cost: $1,650,443 in 2026; $1,227,605 in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1,565,619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Fixed maturity securities held to maturity, at amortized cost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14,701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 at fair value (cost: $108,026 in 2026; $81,772 in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123,745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28,503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1,758,031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1,352,023</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106,875</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11,545</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Premiums receivable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667,166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452,908</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policy acquisition costs,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162,888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127,718</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paid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48,220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56,428</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 on unpaid 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604,411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412,273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 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453,173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355,918</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168,777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110,896</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761</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2,551</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Goodwill and intangible assets,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61,054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4,169,244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3,050,967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183,128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115,663</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Reserve for 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1,104,974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688,231</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1,257,218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988,143</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Ceded premium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270,547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271,413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Funds held under reinsurance treaty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53,367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44,850</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Borrowings from credit agreements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294,038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pPr>
            <w:r>
              <w:t> </w:t>
            </w:r>
          </w:p>
        </w:tc>
        <w:tc>
          <w:tcPr>
            <w:tcW w:w="980"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3,184,272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pPr>
            <w: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pPr>
            <w:r>
              <w:t> </w:t>
            </w:r>
          </w:p>
        </w:tc>
        <w:tc>
          <w:tcPr>
            <w:tcW w:w="21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pPr>
            <w:r>
              <w:t> </w:t>
            </w:r>
          </w:p>
        </w:tc>
        <w:tc>
          <w:tcPr>
            <w:tcW w:w="96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2,108,300</w:t>
            </w:r>
          </w:p>
        </w:tc>
        <w:tc>
          <w:tcPr>
            <w:tcW w:w="413"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5,000,000 shares authorized, 0 shares issued and outstanding as of September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26,290,067 and 26,520,417 shares issued and outstanding as of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553,574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523,168</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(66,266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(2,506</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422,002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694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984,972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942,667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69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4,169,244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3,050,967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b/>
          <w:color w:val="000000"/>
          <w:sz w:val="20"/>
        </w:rPr>
      </w:pPr>
      <w:bookmarkStart w:id="6" w:name="statements_of_income"/>
      <w:bookmarkEnd w:id="6"/>
      <w:r>
        <w:rPr>
          <w:rFonts w:ascii="Times New Roman" w:hAnsi="Times New Roman"/>
          <w:b/>
          <w:color w:val="000000"/>
          <w:sz w:val="20"/>
        </w:rPr>
        <w:t>Condensed Consolidated Statements of Income and Comprehensive Income (Unaudited)</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lineRule="auto" w:line="273" w:before="120" w:after="283"/>
        <w:jc w:val="left"/>
      </w:pPr>
      <w: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767,046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597,171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2,027,330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1,535,623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(975,669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(819,171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388,569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275,244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1,051,661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716,452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unearned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(137,880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(147,277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365,391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225,147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913,781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569,175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60,340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40,014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(losses)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9,461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386,590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244,660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979,952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622,604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151,646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337,732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157,739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72,352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56,270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213,923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154,266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72,722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207,057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129,563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301,858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177,521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771,955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441,872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84,732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67,139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207,997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180,732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160,874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140,905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(losses) gains on securities available for sale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163,658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26,308,497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26,637,592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26,408,217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26,683,856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26,995,574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27,446,519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27,143,378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27,533,533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sz w:val="20"/>
        </w:rPr>
      </w:pPr>
      <w:bookmarkStart w:id="7" w:name="statements_of_equity"/>
      <w:bookmarkEnd w:id="7"/>
      <w:r>
        <w:rPr>
          <w:rFonts w:ascii="Times New Roman" w:hAnsi="Times New Roman"/>
          <w:b/>
          <w:color w:val="000000"/>
          <w:sz w:val="20"/>
        </w:rPr>
        <w:t>Condensed Consolidated Statements of Changes in Stockholders</w:t>
      </w:r>
      <w:r>
        <w:rPr>
          <w:rFonts w:ascii="Times New Roman" w:hAnsi="Times New Roman"/>
          <w:color w:val="000000"/>
          <w:sz w:val="20"/>
        </w:rPr>
        <w:t xml:space="preserve">’ </w:t>
      </w:r>
      <w:r>
        <w:rPr>
          <w:rFonts w:ascii="Times New Roman" w:hAnsi="Times New Roman"/>
          <w:b/>
          <w:color w:val="000000"/>
          <w:sz w:val="20"/>
        </w:rPr>
        <w:t>Equity (Unaudited)</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spacing w:lineRule="auto" w:line="273"/>
        <w:jc w:val="center"/>
      </w:pPr>
      <w:r>
        <w:t> </w:t>
      </w:r>
    </w:p>
    <w:tbl>
      <w:tblPr>
        <w:tblW w:w="10205" w:type="dxa"/>
        <w:jc w:val="left"/>
        <w:tblInd w:w="0" w:type="dxa"/>
        <w:tblLayout w:type="fixed"/>
        <w:tblCellMar>
          <w:top w:w="28" w:type="dxa"/>
          <w:left w:w="28" w:type="dxa"/>
          <w:bottom w:w="28" w:type="dxa"/>
          <w:right w:w="28" w:type="dxa"/>
        </w:tblCellMar>
      </w:tblPr>
      <w:tblGrid>
        <w:gridCol w:w="2354"/>
        <w:gridCol w:w="146"/>
        <w:gridCol w:w="146"/>
        <w:gridCol w:w="916"/>
        <w:gridCol w:w="166"/>
        <w:gridCol w:w="146"/>
        <w:gridCol w:w="277"/>
        <w:gridCol w:w="489"/>
        <w:gridCol w:w="146"/>
        <w:gridCol w:w="146"/>
        <w:gridCol w:w="196"/>
        <w:gridCol w:w="691"/>
        <w:gridCol w:w="146"/>
        <w:gridCol w:w="146"/>
        <w:gridCol w:w="277"/>
        <w:gridCol w:w="939"/>
        <w:gridCol w:w="166"/>
        <w:gridCol w:w="146"/>
        <w:gridCol w:w="196"/>
        <w:gridCol w:w="691"/>
        <w:gridCol w:w="166"/>
        <w:gridCol w:w="146"/>
        <w:gridCol w:w="232"/>
        <w:gridCol w:w="823"/>
        <w:gridCol w:w="312"/>
      </w:tblGrid>
      <w:t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Stockholders’</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26,520,417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523,168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422,002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942,667</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(13,947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(13,947</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8,786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8,786</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7,148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176,985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25</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906</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(190,255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(23,088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(23,088</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42,947</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26,514,295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533,628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441,861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959,039</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1,294</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7,438</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41,403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460</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1,136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1,136</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(368,719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(41,017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(41,017</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52,592</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26,186,979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542,662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(15,159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453,436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980,942</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(51,107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(51,107</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7,022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7,022</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8,191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881</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164,897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1,646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1,646</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1,363</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(8,886</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Dividends and dividend equivalents declared ($0.45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(12,224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(12,224</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235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65,335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65,335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September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26,290,067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553,574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(66,266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497,661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984,972</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sz w:val="20"/>
        </w:rPr>
      </w:pPr>
      <w:r>
        <w:rPr>
          <w:rFonts w:ascii="Times New Roman" w:hAnsi="Times New Roman"/>
          <w:b/>
          <w:color w:val="000000"/>
          <w:sz w:val="20"/>
        </w:rPr>
        <w:t>Condensed Consolidated Statements of Changes in Stockholders</w:t>
      </w:r>
      <w:r>
        <w:rPr>
          <w:rFonts w:ascii="Times New Roman" w:hAnsi="Times New Roman"/>
          <w:color w:val="000000"/>
          <w:sz w:val="20"/>
        </w:rPr>
        <w:t xml:space="preserve">’ </w:t>
      </w:r>
      <w:r>
        <w:rPr>
          <w:rFonts w:ascii="Times New Roman" w:hAnsi="Times New Roman"/>
          <w:b/>
          <w:color w:val="000000"/>
          <w:sz w:val="20"/>
        </w:rPr>
        <w:t>Equity (Unaudited)</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334"/>
        <w:gridCol w:w="146"/>
        <w:gridCol w:w="146"/>
        <w:gridCol w:w="916"/>
        <w:gridCol w:w="166"/>
        <w:gridCol w:w="146"/>
        <w:gridCol w:w="277"/>
        <w:gridCol w:w="489"/>
        <w:gridCol w:w="146"/>
        <w:gridCol w:w="146"/>
        <w:gridCol w:w="196"/>
        <w:gridCol w:w="691"/>
        <w:gridCol w:w="166"/>
        <w:gridCol w:w="146"/>
        <w:gridCol w:w="277"/>
        <w:gridCol w:w="939"/>
        <w:gridCol w:w="166"/>
        <w:gridCol w:w="146"/>
        <w:gridCol w:w="196"/>
        <w:gridCol w:w="691"/>
        <w:gridCol w:w="166"/>
        <w:gridCol w:w="146"/>
        <w:gridCol w:w="232"/>
        <w:gridCol w:w="823"/>
        <w:gridCol w:w="312"/>
      </w:tblGrid>
      <w:tr>
        <w:tc>
          <w:tcPr>
            <w:tcW w:w="2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Stockholders’</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26,529,402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493,656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729,030</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10,203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10,203</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4,745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4,745</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6,310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526</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199,420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2,377</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777</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Offering costs (related to prior year offering)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(131</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42,922</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26,735,132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501,950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(16,642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305,138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790,449</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3,009</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5,347</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42,066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889</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975</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46,528</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26,777,198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509,161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(13,633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351,666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847,197</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9,541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9,541</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5,379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5,379</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6,116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639</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via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19,627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80</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Policyholder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1,106</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Offering costs (related to prior year offering)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(10</w:t>
            </w:r>
          </w:p>
        </w:tc>
        <w:tc>
          <w:tcPr>
            <w:tcW w:w="3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(308,417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(37,277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(37,277</w:t>
            </w:r>
          </w:p>
        </w:tc>
        <w:tc>
          <w:tcPr>
            <w:tcW w:w="3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c>
          <w:tcPr>
            <w:tcW w:w="23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51,455</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23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26,494,524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516,355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365,844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878,110</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pPr>
      <w:r>
        <w:t> </w:t>
      </w:r>
    </w:p>
    <w:p>
      <w:pPr>
        <w:pStyle w:val="TextBody"/>
        <w:bidi w:val="0"/>
        <w:spacing w:lineRule="auto" w:line="273"/>
        <w:jc w:val="left"/>
      </w:pPr>
      <w:r>
        <w:t> </w:t>
      </w:r>
    </w:p>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120" w:after="283"/>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 (Unaudited)</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left"/>
      </w:pPr>
      <w:r>
        <w:t> </w:t>
      </w:r>
    </w:p>
    <w:tbl>
      <w:tblPr>
        <w:tblW w:w="8809" w:type="dxa"/>
        <w:jc w:val="left"/>
        <w:tblInd w:w="0" w:type="dxa"/>
        <w:tblLayout w:type="fixed"/>
        <w:tblCellMar>
          <w:top w:w="28" w:type="dxa"/>
          <w:left w:w="28" w:type="dxa"/>
          <w:bottom w:w="28" w:type="dxa"/>
          <w:right w:w="28" w:type="dxa"/>
        </w:tblCellMar>
      </w:tblPr>
      <w:tblGrid>
        <w:gridCol w:w="5836"/>
        <w:gridCol w:w="146"/>
        <w:gridCol w:w="211"/>
        <w:gridCol w:w="841"/>
        <w:gridCol w:w="166"/>
        <w:gridCol w:w="146"/>
        <w:gridCol w:w="211"/>
        <w:gridCol w:w="841"/>
        <w:gridCol w:w="411"/>
      </w:tblGrid>
      <w:t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1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334,759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291,705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Capitalized software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fixed maturity securities available for sale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(655,261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(710,495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fixed maturity securities held to maturity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(64,800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(10,261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and maturities of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327,947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557,125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12,956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securities receivable or payable,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Investments in limited partnerships and other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(12,661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 of policy renewal rights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(623,043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(230,435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Payments on line of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(15,000</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line of credit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208,000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15,000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term loan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300,000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Payments on term loan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stock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common stock issued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Proceeds from common stock issued via stock option exercises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Policyholder contribution to surplus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(72,991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(37,277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31,221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80,539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111,760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Supplementary cash flow information: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federal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37,392</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state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 summarizes our cash and cash equivalents and restricted cash and cash equivalents within the condensed consolidated balance sheets (in thousands):</w:t>
      </w:r>
    </w:p>
    <w:p>
      <w:pPr>
        <w:pStyle w:val="TextBody"/>
        <w:bidi w:val="0"/>
        <w:spacing w:lineRule="auto" w:line="273"/>
        <w:jc w:val="left"/>
      </w:pPr>
      <w:r>
        <w:t> </w:t>
      </w:r>
    </w:p>
    <w:tbl>
      <w:tblPr>
        <w:tblW w:w="7005" w:type="dxa"/>
        <w:jc w:val="left"/>
        <w:tblInd w:w="0" w:type="dxa"/>
        <w:tblLayout w:type="fixed"/>
        <w:tblCellMar>
          <w:top w:w="28" w:type="dxa"/>
          <w:left w:w="28" w:type="dxa"/>
          <w:bottom w:w="28" w:type="dxa"/>
          <w:right w:w="28" w:type="dxa"/>
        </w:tblCellMar>
      </w:tblPr>
      <w:tblGrid>
        <w:gridCol w:w="3811"/>
        <w:gridCol w:w="146"/>
        <w:gridCol w:w="310"/>
        <w:gridCol w:w="995"/>
        <w:gridCol w:w="146"/>
        <w:gridCol w:w="146"/>
        <w:gridCol w:w="268"/>
        <w:gridCol w:w="992"/>
        <w:gridCol w:w="191"/>
      </w:tblGrid>
      <w:t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106,875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8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8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Palomar Holdings,</w:t>
      </w:r>
      <w:r>
        <w:rPr>
          <w:rFonts w:ascii="Times New Roman" w:hAnsi="Times New Roman"/>
          <w:color w:val="000000"/>
          <w:sz w:val="20"/>
        </w:rPr>
        <w:t xml:space="preserve"> </w:t>
      </w:r>
      <w:r>
        <w:rPr>
          <w:rFonts w:ascii="Times New Roman" w:hAnsi="Times New Roman"/>
          <w:b/>
          <w:color w:val="000000"/>
          <w:sz w:val="20"/>
        </w:rPr>
        <w:t>Inc. and Subsidiaries</w:t>
      </w:r>
    </w:p>
    <w:p>
      <w:pPr>
        <w:pStyle w:val="TextBody"/>
        <w:bidi w:val="0"/>
        <w:spacing w:lineRule="auto" w:line="273" w:before="200" w:after="283"/>
        <w:jc w:val="center"/>
        <w:rPr>
          <w:rFonts w:ascii="Times New Roman" w:hAnsi="Times New Roman"/>
          <w:sz w:val="20"/>
        </w:rPr>
      </w:pPr>
      <w:bookmarkStart w:id="9" w:name="notes_to_consolidated_financial_stmt"/>
      <w:bookmarkEnd w:id="9"/>
      <w:r>
        <w:rPr>
          <w:rFonts w:ascii="Times New Roman" w:hAnsi="Times New Roman"/>
          <w:b/>
          <w:color w:val="000000"/>
          <w:sz w:val="20"/>
        </w:rPr>
        <w:t>Notes</w:t>
      </w:r>
      <w:r>
        <w:rPr>
          <w:rFonts w:ascii="Times New Roman" w:hAnsi="Times New Roman"/>
          <w:color w:val="000000"/>
          <w:sz w:val="20"/>
        </w:rPr>
        <w:t xml:space="preserve"> </w:t>
      </w:r>
      <w:r>
        <w:rPr>
          <w:rFonts w:ascii="Times New Roman" w:hAnsi="Times New Roman"/>
          <w:b/>
          <w:color w:val="000000"/>
          <w:sz w:val="20"/>
        </w:rPr>
        <w:t>to Condensed Consolidated Financial Statements (Unaudited)</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 Summary of Operations and Basis of Presentation</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Summary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Palomar Holdings, Inc. (the “Company”) is a Delaware-incorporated insurance holding company that was founded in 2014. The Company has several wholly owned subsidiaries including an Oregon-domiciled insurance company, Palomar Specialty Insurance Company (“PSIC”), a Bermuda-domiciled reinsurance company, Palomar Specialty Reinsurance Company Bermuda Ltd. (“PSRE”), an Arizona-domiciled surplus lines insurance company, Palomar Excess and Surplus Insurance Company (“PESIC”), a California-domiciled property and casualty insurance agency, Palomar Insurance Agency, Inc., DBA Palomar General Insurance Agency (“PGIA”), a Delaware-incorporated management company, Palomar Underwriters Exchange Organization, Inc. (“PUEO”), that provides services to a Hawaii-domiciled reciprocal exchange, Laulima Exchange (“Laulima”), as its attorney-in-fact, a New Jersey-domiciled insurance carrier specializing in surety bonds, First Indemnity of America Insurance Co. (“FIA”), a Delaware-incorporated insurance management company, Palomar Crop Insurance Services, Inc. (“PCIS”), and a Louisiana-domiciled and Treasury-listed surety carrier specializing in contract bonds, Palomar Casualty and Surety Company (“PCSC”).</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a single operating segment, the property and casualty insurance business. The Company’s chief operating decision maker (“CODM”) is the Chief Executive Officer. The CODM reviews the Company’s consolidated net income as reported under GAAP, which is the primary measure of segment profit or loss. The CODM also reviews the individual measures and significant segment expenses that contribute to net income including gross written premiums, net earned premiums, losses and loss adjustment expenses, acquisition and underwriting expenses, and net investment income. The CODM reviews these measures, comparing them to prior periods and forecasted expectations, and makes resource allocation decisions based on the analysis. The significant segment expenses provided to the CODM are consistent with the categories shown in the Company’s Consolidated Statements of Income and Comprehensive Income and there are no other segment items used by the CODM. While the Company’s CODM also reviews the revenue streams attributable to individual products, operations are managed, resources are allocated, and financial performance is evaluated on a consolidated basis.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accordance with GAAP for interim financial information and include the accounts of the Company and its wholly</w:t>
        <w:noBreakHyphen/>
        <w:t>owned subsidiaries.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condensed consolidated financial statements also include the accounts of Laulima, a variable interest entity (“VIE”) for which the Company is the primary beneficiary. The Company determined it is the primary beneficiary because it has the power to direct the activities that most significantly impact Laulima’s economic performance and the obligation to absorb losses that could be significant to Laulima, primarily through capital previously provided. The assets of Laulima may only be used to settle its obligations, and its creditors do not have recourse to the general credit of the Company.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condensed consolidated financial statements do not contain all information and footnotes required by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2025, filed with the SEC on February 24, 2026 (the “2025 Annual Report on Form 10-K”).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the allowance for credit losses on the Company's held-to-maturity investments, and the fair values of investments.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not adopted any new accounting guidance during the nine months ended September 30, 2026.</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Income Statement Expenses</w:t>
      </w:r>
    </w:p>
    <w:p>
      <w:pPr>
        <w:pStyle w:val="TextBody"/>
        <w:bidi w:val="0"/>
        <w:spacing w:lineRule="auto" w:line="273" w:before="200" w:after="283"/>
        <w:jc w:val="left"/>
        <w:rPr>
          <w:rFonts w:ascii="Times New Roman" w:hAnsi="Times New Roman"/>
          <w:sz w:val="20"/>
        </w:rPr>
      </w:pPr>
      <w:r>
        <w:rPr>
          <w:rFonts w:ascii="Times New Roman" w:hAnsi="Times New Roman"/>
          <w:color w:val="000000"/>
          <w:sz w:val="20"/>
        </w:rPr>
        <w:t xml:space="preserve">In November 2024, the FASB issued ASU No. </w:t>
      </w:r>
      <w:r>
        <w:rPr>
          <w:rFonts w:ascii="Times New Roman" w:hAnsi="Times New Roman"/>
          <w:i/>
          <w:color w:val="000000"/>
          <w:sz w:val="20"/>
        </w:rPr>
        <w:t>2024</w:t>
      </w:r>
      <w:r>
        <w:rPr>
          <w:rFonts w:ascii="Times New Roman" w:hAnsi="Times New Roman"/>
          <w:color w:val="000000"/>
          <w:sz w:val="20"/>
        </w:rPr>
        <w:t>-</w:t>
      </w:r>
      <w:r>
        <w:rPr>
          <w:rFonts w:ascii="Times New Roman" w:hAnsi="Times New Roman"/>
          <w:i/>
          <w:color w:val="000000"/>
          <w:sz w:val="20"/>
        </w:rPr>
        <w:t>03,</w:t>
      </w:r>
      <w:r>
        <w:rPr>
          <w:rFonts w:ascii="Times New Roman" w:hAnsi="Times New Roman"/>
          <w:color w:val="000000"/>
          <w:sz w:val="20"/>
        </w:rPr>
        <w:t xml:space="preserve"> </w:t>
      </w:r>
      <w:r>
        <w:rPr>
          <w:rFonts w:ascii="Times New Roman" w:hAnsi="Times New Roman"/>
          <w:i/>
          <w:color w:val="000000"/>
          <w:sz w:val="20"/>
        </w:rPr>
        <w:t>Disaggregation of Income Statement Expenses (“ASU 2024-03”)</w:t>
      </w:r>
      <w:r>
        <w:rPr>
          <w:rFonts w:ascii="Times New Roman" w:hAnsi="Times New Roman"/>
          <w:color w:val="000000"/>
          <w:sz w:val="20"/>
        </w:rPr>
        <w:t>, which will require disclosure of additional information about specific expense categories in the notes to financial statements for all public business entities. ASU 2024-03 is effective for annual reporting periods beginning after December 15, 2026, and interim reporting periods beginning after December 15, 2027. Early adoption is permitted. The Company is currently evaluating the impact the adoption of this standard will have on its consolidated financial statements.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Internal-Use Software</w:t>
      </w:r>
    </w:p>
    <w:p>
      <w:pPr>
        <w:pStyle w:val="TextBody"/>
        <w:bidi w:val="0"/>
        <w:spacing w:lineRule="auto" w:line="273"/>
        <w:jc w:val="left"/>
      </w:pPr>
      <w:r>
        <w:t> </w:t>
      </w:r>
    </w:p>
    <w:p>
      <w:pPr>
        <w:pStyle w:val="TextBody"/>
        <w:bidi w:val="0"/>
        <w:spacing w:lineRule="auto" w:line="27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 — Goodwill and Other — Internal-Use Software (Subtopic 350-40) (“ASU 2025-06”)</w:t>
      </w:r>
      <w:r>
        <w:rPr>
          <w:rFonts w:ascii="Times New Roman" w:hAnsi="Times New Roman"/>
          <w:color w:val="000000"/>
          <w:sz w:val="20"/>
        </w:rPr>
        <w:t>, which clarifies and modernizes the accounting for costs related to internal-use software by removing references to project stages and clarifying the probable-to-complete threshold for capitalization of internal-use software costs when significant development uncertainty exists. ASU 2025-06 is effective for annual reporting periods beginning after December 15, 2027, and interim periods within those annual reporting periods. Early adoption is permitted. The Company is currently evaluating the impact the adoption of this standard will have on its consolidated financial statements.</w:t>
      </w:r>
    </w:p>
    <w:p>
      <w:pPr>
        <w:pStyle w:val="TextBody"/>
        <w:bidi w:val="0"/>
        <w:spacing w:lineRule="auto" w:line="273"/>
        <w:jc w:val="left"/>
      </w:pPr>
      <w: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2.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available</w:t>
        <w:noBreakHyphen/>
        <w:t>for</w:t>
        <w:noBreakHyphen/>
        <w:t>sale investments are summarized as follows:</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3133"/>
        <w:gridCol w:w="146"/>
        <w:gridCol w:w="211"/>
        <w:gridCol w:w="931"/>
        <w:gridCol w:w="146"/>
        <w:gridCol w:w="146"/>
        <w:gridCol w:w="279"/>
        <w:gridCol w:w="757"/>
        <w:gridCol w:w="146"/>
        <w:gridCol w:w="146"/>
        <w:gridCol w:w="230"/>
        <w:gridCol w:w="806"/>
        <w:gridCol w:w="166"/>
        <w:gridCol w:w="146"/>
        <w:gridCol w:w="375"/>
        <w:gridCol w:w="616"/>
        <w:gridCol w:w="146"/>
        <w:gridCol w:w="146"/>
        <w:gridCol w:w="211"/>
        <w:gridCol w:w="931"/>
        <w:gridCol w:w="391"/>
      </w:tblGrid>
      <w:tr>
        <w:tc>
          <w:tcPr>
            <w:tcW w:w="3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Allowance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for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535"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31,933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31,366</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15,923</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834,795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(46,884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788,704</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745,975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712,514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1,650,443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1,565,619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3133"/>
        <w:gridCol w:w="146"/>
        <w:gridCol w:w="211"/>
        <w:gridCol w:w="931"/>
        <w:gridCol w:w="146"/>
        <w:gridCol w:w="146"/>
        <w:gridCol w:w="246"/>
        <w:gridCol w:w="790"/>
        <w:gridCol w:w="146"/>
        <w:gridCol w:w="146"/>
        <w:gridCol w:w="230"/>
        <w:gridCol w:w="806"/>
        <w:gridCol w:w="166"/>
        <w:gridCol w:w="146"/>
        <w:gridCol w:w="375"/>
        <w:gridCol w:w="616"/>
        <w:gridCol w:w="146"/>
        <w:gridCol w:w="146"/>
        <w:gridCol w:w="211"/>
        <w:gridCol w:w="931"/>
        <w:gridCol w:w="391"/>
      </w:tblGrid>
      <w:tr>
        <w:tc>
          <w:tcPr>
            <w:tcW w:w="3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Gross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Allowance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for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6535"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606,748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13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13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Held-to-maturity security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the Company held one debt security classified as held-to-maturity, representing its investment in a floating rate senior surplus note issued by a Florida-domiciled reciprocal insurance exchange (the “Senior Surplus Note”), which the Company acquired on September 22, 2026. The Senior Surplus Note has a principal amount of $15.0 million, was purchased at a discount for $14.7 million and is scheduled to mature in September 2033. Interest, which is based on the three-month U.S. Treasury rate plus a spread that varies with the issuer’s surplus note leverage, is payable semi-annually beginning December 31, 2026. The Senior Surplus Note is redeemable at the issuer’s option beginning September 2027. It is unsecured and ranks junior to policyholder and other creditor claims. All payments of principal and interest on the Senior Surplus Note are subject to prior approval by the Florida Office of Insurance Regulation, and if approval is not granted, payment is deferred until approval is obtained. The Company has the intent and ability to hold the security to maturity, and it is carried at amortized cost, with the discount accreted to interest income over the contractual term on a straight-line basis, which approximates the effective interest method, net of an allowance for credit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the Senior Surplus Note had a carrying amount of $14.7 million and an estimated fair value that approximated its carrying amount. The carrying amount and estimated fair value of the Senior Surplus Note are both classified in the after five years through ten years maturity grouping, based on its contractual maturity of September 2033. See Note 4 for further discussion of the fair value measurement and its categorization within Level 3 of the fair value hierarchy.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evaluates expected credit losses on its held-to-maturity security based on an assessment of the issuer's credit quality, including statutory capital and surplus, senior surplus note leverage, operating performance, reinsurance arrangements, regulatory developments, and other information relevant to the collectability of contractual cash flows. Based on this assessment, the Company has concluded that no allowance for credit losses was required as of September 30, 2026.</w:t>
      </w:r>
    </w:p>
    <w:p>
      <w:pPr>
        <w:pStyle w:val="TextBody"/>
        <w:bidi w:val="0"/>
        <w:spacing w:lineRule="auto" w:line="273"/>
        <w:jc w:val="left"/>
      </w:pPr>
      <w: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Security holdings in an unrealized loss position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the Company held 1,113 fixed maturity securities in an unrealized loss position with a total estimated fair value of $1.4 billion and total gross unrealized losses of $86.0 million. As of December 31, 2025, the Company held 391 fixed maturity securities in an unrealized loss position with a total estimated fair value of $375.4 million and total gross unrealized losses of $19.5 million.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aggregate fair value and gross unrealized losses of the Company’s investments aggregated by investment category and the length of time these individual securities have been in a continuous unrealized loss position as of September 30, 2026 and December 31, 2025, are as follows:</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1764"/>
        <w:gridCol w:w="146"/>
        <w:gridCol w:w="211"/>
        <w:gridCol w:w="931"/>
        <w:gridCol w:w="146"/>
        <w:gridCol w:w="146"/>
        <w:gridCol w:w="230"/>
        <w:gridCol w:w="806"/>
        <w:gridCol w:w="166"/>
        <w:gridCol w:w="146"/>
        <w:gridCol w:w="211"/>
        <w:gridCol w:w="781"/>
        <w:gridCol w:w="146"/>
        <w:gridCol w:w="146"/>
        <w:gridCol w:w="230"/>
        <w:gridCol w:w="806"/>
        <w:gridCol w:w="166"/>
        <w:gridCol w:w="146"/>
        <w:gridCol w:w="211"/>
        <w:gridCol w:w="931"/>
        <w:gridCol w:w="146"/>
        <w:gridCol w:w="146"/>
        <w:gridCol w:w="230"/>
        <w:gridCol w:w="806"/>
        <w:gridCol w:w="411"/>
      </w:tblGrid>
      <w:tr>
        <w:tc>
          <w:tcPr>
            <w:tcW w:w="1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17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47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247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7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7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7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884"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7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17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25,546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5,414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7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11,174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7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13,449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7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601,336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127,503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728,839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(46,884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7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522,550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589,029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(33,832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1,157,844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(29,431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1,381,863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(85,989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2064"/>
        <w:gridCol w:w="146"/>
        <w:gridCol w:w="211"/>
        <w:gridCol w:w="781"/>
        <w:gridCol w:w="146"/>
        <w:gridCol w:w="146"/>
        <w:gridCol w:w="259"/>
        <w:gridCol w:w="777"/>
        <w:gridCol w:w="166"/>
        <w:gridCol w:w="146"/>
        <w:gridCol w:w="211"/>
        <w:gridCol w:w="781"/>
        <w:gridCol w:w="146"/>
        <w:gridCol w:w="146"/>
        <w:gridCol w:w="230"/>
        <w:gridCol w:w="806"/>
        <w:gridCol w:w="166"/>
        <w:gridCol w:w="146"/>
        <w:gridCol w:w="211"/>
        <w:gridCol w:w="781"/>
        <w:gridCol w:w="146"/>
        <w:gridCol w:w="146"/>
        <w:gridCol w:w="230"/>
        <w:gridCol w:w="806"/>
        <w:gridCol w:w="411"/>
      </w:tblGrid>
      <w:tr>
        <w:tc>
          <w:tcPr>
            <w:tcW w:w="2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More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Unrealized</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0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7584" w:type="dxa"/>
            <w:gridSpan w:val="2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5,157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15,185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160,780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210,743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(8,404</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0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06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375,350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reviews all securities with unrealized losses on a quarterly basis to assess whether the decline in the securities’ fair value necessitates the recognition of an allowance for credit losses. The Company considers numerous factors in its review as described in Note 2 of the Notes to the Consolidated Financial Statements in the 2025 Annual Report on Form 10-K.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the Company’s review as of September 30, 2026,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Contractual maturities of available</w:t>
      </w:r>
      <w:r>
        <w:rPr>
          <w:rFonts w:ascii="Times New Roman" w:hAnsi="Times New Roman"/>
          <w:color w:val="000000"/>
          <w:sz w:val="20"/>
        </w:rPr>
        <w:noBreakHyphen/>
      </w:r>
      <w:r>
        <w:rPr>
          <w:rFonts w:ascii="Times New Roman" w:hAnsi="Times New Roman"/>
          <w:i/>
          <w:color w:val="000000"/>
          <w:sz w:val="20"/>
        </w:rPr>
        <w:t>for</w:t>
      </w:r>
      <w:r>
        <w:rPr>
          <w:rFonts w:ascii="Times New Roman" w:hAnsi="Times New Roman"/>
          <w:color w:val="000000"/>
          <w:sz w:val="20"/>
        </w:rPr>
        <w:noBreakHyphen/>
      </w:r>
      <w:r>
        <w:rPr>
          <w:rFonts w:ascii="Times New Roman" w:hAnsi="Times New Roman"/>
          <w:i/>
          <w:color w:val="000000"/>
          <w:sz w:val="20"/>
        </w:rPr>
        <w:t>sale fixed maturity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amortized cost and fair value of fixed maturity securities at September 30, 2026, by contractual maturity, are shown below:</w:t>
      </w:r>
    </w:p>
    <w:p>
      <w:pPr>
        <w:pStyle w:val="TextBody"/>
        <w:bidi w:val="0"/>
        <w:spacing w:lineRule="auto" w:line="273"/>
        <w:jc w:val="left"/>
      </w:pPr>
      <w:r>
        <w:t> </w:t>
      </w:r>
    </w:p>
    <w:tbl>
      <w:tblPr>
        <w:tblW w:w="6064" w:type="dxa"/>
        <w:jc w:val="left"/>
        <w:tblInd w:w="0" w:type="dxa"/>
        <w:tblLayout w:type="fixed"/>
        <w:tblCellMar>
          <w:top w:w="28" w:type="dxa"/>
          <w:left w:w="28" w:type="dxa"/>
          <w:bottom w:w="28" w:type="dxa"/>
          <w:right w:w="28" w:type="dxa"/>
        </w:tblCellMar>
      </w:tblPr>
      <w:tblGrid>
        <w:gridCol w:w="3151"/>
        <w:gridCol w:w="146"/>
        <w:gridCol w:w="211"/>
        <w:gridCol w:w="931"/>
        <w:gridCol w:w="146"/>
        <w:gridCol w:w="146"/>
        <w:gridCol w:w="211"/>
        <w:gridCol w:w="931"/>
        <w:gridCol w:w="191"/>
      </w:tblGrid>
      <w:t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57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56,013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55,930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295,592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285,306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342,520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323,763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ten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210,343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188,106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Mortgage and 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745,975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712,514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1,650,443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1,565,619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Expected maturities may differ from contractual maturities because borrowers may have the right to call or prepay obligations.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Net investment income summary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investment income is summarized as follows:</w:t>
      </w:r>
    </w:p>
    <w:p>
      <w:pPr>
        <w:pStyle w:val="TextBody"/>
        <w:bidi w:val="0"/>
        <w:spacing w:lineRule="auto" w:line="273"/>
        <w:jc w:val="left"/>
      </w:pPr>
      <w:r>
        <w:t> </w:t>
      </w:r>
    </w:p>
    <w:tbl>
      <w:tblPr>
        <w:tblW w:w="6837" w:type="dxa"/>
        <w:jc w:val="left"/>
        <w:tblInd w:w="0" w:type="dxa"/>
        <w:tblLayout w:type="fixed"/>
        <w:tblCellMar>
          <w:top w:w="28" w:type="dxa"/>
          <w:left w:w="28" w:type="dxa"/>
          <w:bottom w:w="28" w:type="dxa"/>
          <w:right w:w="28" w:type="dxa"/>
        </w:tblCellMar>
      </w:tblPr>
      <w:tblGrid>
        <w:gridCol w:w="1996"/>
        <w:gridCol w:w="146"/>
        <w:gridCol w:w="211"/>
        <w:gridCol w:w="676"/>
        <w:gridCol w:w="166"/>
        <w:gridCol w:w="146"/>
        <w:gridCol w:w="211"/>
        <w:gridCol w:w="676"/>
        <w:gridCol w:w="166"/>
        <w:gridCol w:w="146"/>
        <w:gridCol w:w="211"/>
        <w:gridCol w:w="676"/>
        <w:gridCol w:w="166"/>
        <w:gridCol w:w="146"/>
        <w:gridCol w:w="211"/>
        <w:gridCol w:w="676"/>
        <w:gridCol w:w="211"/>
      </w:tblGrid>
      <w:t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57,731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39,824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Dividend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857</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Net realized and unrealized investment gains and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presents net realized and unrealized investment gains and losses:</w:t>
      </w:r>
    </w:p>
    <w:p>
      <w:pPr>
        <w:pStyle w:val="TextBody"/>
        <w:bidi w:val="0"/>
        <w:spacing w:lineRule="auto" w:line="273"/>
        <w:jc w:val="left"/>
      </w:pPr>
      <w:r>
        <w:t> </w:t>
      </w:r>
    </w:p>
    <w:tbl>
      <w:tblPr>
        <w:tblW w:w="9282" w:type="dxa"/>
        <w:jc w:val="left"/>
        <w:tblInd w:w="0" w:type="dxa"/>
        <w:tblLayout w:type="fixed"/>
        <w:tblCellMar>
          <w:top w:w="28" w:type="dxa"/>
          <w:left w:w="28" w:type="dxa"/>
          <w:bottom w:w="28" w:type="dxa"/>
          <w:right w:w="28" w:type="dxa"/>
        </w:tblCellMar>
      </w:tblPr>
      <w:tblGrid>
        <w:gridCol w:w="4741"/>
        <w:gridCol w:w="146"/>
        <w:gridCol w:w="211"/>
        <w:gridCol w:w="631"/>
        <w:gridCol w:w="166"/>
        <w:gridCol w:w="146"/>
        <w:gridCol w:w="211"/>
        <w:gridCol w:w="571"/>
        <w:gridCol w:w="166"/>
        <w:gridCol w:w="146"/>
        <w:gridCol w:w="211"/>
        <w:gridCol w:w="571"/>
        <w:gridCol w:w="166"/>
        <w:gridCol w:w="146"/>
        <w:gridCol w:w="211"/>
        <w:gridCol w:w="631"/>
        <w:gridCol w:w="211"/>
      </w:tblGrid>
      <w:t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93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93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93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93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Realized gains: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Gains on sales of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463</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Gains on sales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realized gains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Realized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on sales of 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(783</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on sales of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realized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investment (losses) gains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(losses) gains on equity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6,190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gains on equity method investment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2,268</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unrealized gains on other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(losses)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9,461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Realized gains and losses on disposition of investments are based on specific identification of the investments sold on the settlement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Proceeds from the sale of fixed maturity securities were $19.3 million and $10.7 million for the three months ended September 30, 2026 and 2025, respectively. Proceeds from the sale of equity securities were $3.1 million and an insignificant amount for the three months ended September 30, 2026 and 2025,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Proceeds from the sale of fixed maturity securities were $67.0 million and $19.5 million for the nine months ended September 30, 2026 and 2025, respectively. Proceeds from the sale of equity securities were $3.1 million and $6.4 million for the nine months ended September 30, 2026 and 2025,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places securities on statutory deposit with certain state agencies to retain the right to do business in those states. These securities are included in available</w:t>
        <w:noBreakHyphen/>
        <w:t>for</w:t>
        <w:noBreakHyphen/>
        <w:t>sale investments on the unaudited condensed consolidated balance sheets. As of September 30, 2026 and December 31, 2025, the carrying amount of securities on deposit with state regulatory authorities was $17.6 million and $13.5 million,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investments in limited partnerships, recorded in the Other investments line of the unaudited condensed consolidated balance sheets at a fair value of $45.2 million as of September 30, 2026. These investments represent capital contributions to private equity funds structured as limited partnerships, which primarily hold illiquid securities. The funds have a ten-year term with no redemption rights. Capital is contributed as called by the general partners, and distributions are received as proceeds are generated from the underlying investments. These investments are measured at estimated fair value utilizing a net asset value per share (or its equivalent) as a practical expedient. As of September 30, 2026, the Company had unfunded commitments to invest an additional $163.4 million in these limited partnerships.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3. Derivative Instruments</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uses commodity-based derivative instruments, specifically put options on livestock, as part of its financial risk management program to mitigate price risk associated with certain insurance contracts exposed to livestock commodity price fluctuations. As part of this program, the Company employs an economic hedging strategy using derivatives to reduce exposure to adverse livestock price movements. The notional amount of derivative contracts held and the degree of hedged exposure are actively managed and vary based on volume of the business written. The Company does not use derivatives for speculative or trading purposes. All derivative positions are intended to support the overall risk management objectives of the business. The Company has not elected hedge accounting for these derivatives.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derivative instruments are recorded at fair value on the unaudited condensed consolidated balance sheets within “Other investments,” with changes in fair value recognized in earnings in “Losses and loss adjustment expenses.”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the notional amount and fair value of the Company’s derivative assets were $13.0 million and $8.7 million, respectively. As of December 31, 2025, the notional amount and fair value of the Company’s derivative assets were $16.4 million and $9.9 million,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three months ended September 30, 2026 and 2025, the Company recognized $0.3 million and an insignificant amount, respectively, of pre-tax net gains related to these derivatives, which were included in earnings within “Losses and loss adjustment expenses.” For the nine months ended September 30, 2026 and 2025, the Company recognized $18.2 million and an insignificant amount, respectively, of pre-tax net losses related to these derivatives, which were included in earnings within “Losses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See Note 2 to the Notes to the Consolidated Financial Statements in our 2025 Annual Report on Form 10-K for additional discussion of the Company’s derivative instrument policy.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three</w:t>
        <w:noBreakHyphen/>
        <w:t>tier hierarchy of inputs is summarized in the three broad levels listed below: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1—Unadjusted quoted prices are available in active markets for identical investments as of the reporting date.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Level 3—Pricing inputs into models are unobservable for the investment. The unobservable inputs require significant management judgment or estimation.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fair value of the Company’s investments in available-for-sale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tables present the hierarchy for financial assets and liabilities measured at fair value on a recurring basis as of September 30, 2026 and December 31, 2025:</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4796"/>
        <w:gridCol w:w="146"/>
        <w:gridCol w:w="211"/>
        <w:gridCol w:w="781"/>
        <w:gridCol w:w="146"/>
        <w:gridCol w:w="146"/>
        <w:gridCol w:w="211"/>
        <w:gridCol w:w="931"/>
        <w:gridCol w:w="146"/>
        <w:gridCol w:w="146"/>
        <w:gridCol w:w="271"/>
        <w:gridCol w:w="448"/>
        <w:gridCol w:w="146"/>
        <w:gridCol w:w="146"/>
        <w:gridCol w:w="211"/>
        <w:gridCol w:w="931"/>
        <w:gridCol w:w="392"/>
      </w:tblGrid>
      <w:t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c>
          <w:tcPr>
            <w:tcW w:w="4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71"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31,366</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15,923</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17,112</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788,704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788,704</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712,514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712,514</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123,080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123,745</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55,627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55,627</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8,737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1,566,284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1,753,728</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4796"/>
        <w:gridCol w:w="146"/>
        <w:gridCol w:w="211"/>
        <w:gridCol w:w="781"/>
        <w:gridCol w:w="146"/>
        <w:gridCol w:w="146"/>
        <w:gridCol w:w="211"/>
        <w:gridCol w:w="931"/>
        <w:gridCol w:w="146"/>
        <w:gridCol w:w="146"/>
        <w:gridCol w:w="271"/>
        <w:gridCol w:w="448"/>
        <w:gridCol w:w="146"/>
        <w:gridCol w:w="146"/>
        <w:gridCol w:w="211"/>
        <w:gridCol w:w="931"/>
        <w:gridCol w:w="392"/>
      </w:tblGrid>
      <w:t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c>
          <w:tcPr>
            <w:tcW w:w="47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71"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99,333</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106,892</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47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9,934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7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1,440,346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short-term maturity.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derivative assets are measured at fair value in accordance with ASC 815, and are included on the unaudited condensed consolidated balance sheets within “Other investments” with any changes in fair value recorded in earnings in “Losses and loss adjustment expenses.” See Note 3 for further information regarding the Company’s derivative assets.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carrying amounts of any borrowings under the Federal Home Loan Bank (“FHLB”) line of credit, the U.S. Bank revolving facility (the “Revolving Facility”), and the term loan facility (“Term Loan”) approximate fair value as the borrowings have variable rates that frequently reprice at market rates. The fair values of these borrowings are categorized as Level 2 within the fair value hierarchy.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Senior Surplus Note, further described in Note 2, is carried at amortized cost and is not measured at fair value on a recurring basis and, as such, is excluded from the table above. As of September 30, 2026, the Senior Surplus Note had a carrying amount of $14.7 million and an estimated fair value that approximated its carrying amount. The estimated fair value was categorized as Level 3 within the fair value hierarchy as the Senior Surplus Note is privately placed and therefore does not have an observable market price. The Company concluded that the estimated fair value approximated carrying amount because the Senior Surplus Note was acquired on September 22, 2026, only eight days before the balance sheet date, and management did not identify any changes in market conditions, issuer credit quality, or other valuation inputs during that period that would indicate a material difference between carrying value and fair value.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Transfers between Level 3 and Level 2 securities measured at fair value on a recurring basis result from changes in the availability of observable market inputs and are recorded at the beginning of the reporting period. As of September 30, 2026 and December 31, 2025, the Company had no securities measured at fair value on a recurring basis classified as Level 3.</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5. Goodwill and Intangible Assets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following table represents a reconciliation of changes in the ending balance of each major intangible asset class: </w:t>
      </w:r>
    </w:p>
    <w:p>
      <w:pPr>
        <w:pStyle w:val="TextBody"/>
        <w:bidi w:val="0"/>
        <w:spacing w:lineRule="auto" w:line="273"/>
        <w:jc w:val="left"/>
      </w:pPr>
      <w:r>
        <w:t> </w:t>
      </w:r>
    </w:p>
    <w:tbl>
      <w:tblPr>
        <w:tblW w:w="9673"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95"/>
        <w:gridCol w:w="951"/>
        <w:gridCol w:w="166"/>
        <w:gridCol w:w="146"/>
        <w:gridCol w:w="211"/>
        <w:gridCol w:w="736"/>
        <w:gridCol w:w="166"/>
        <w:gridCol w:w="146"/>
        <w:gridCol w:w="346"/>
        <w:gridCol w:w="944"/>
        <w:gridCol w:w="146"/>
        <w:gridCol w:w="146"/>
        <w:gridCol w:w="211"/>
        <w:gridCol w:w="781"/>
        <w:gridCol w:w="211"/>
      </w:tblGrid>
      <w:t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Customer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Relationships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 of</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and Other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Business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Intangible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Acquired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Assets</w:t>
            </w:r>
            <w:r>
              <w:rPr>
                <w:rFonts w:ascii="Times New Roman" w:hAnsi="Times New Roman"/>
                <w:b/>
                <w:color w:val="000000"/>
                <w:sz w:val="13"/>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(VOBA)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State Licenses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675"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30,466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28,244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61,054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Capitalizations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105,097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61,500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198,129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(21,604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(30,757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135,563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pPr>
            <w: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pPr>
            <w: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80,591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pPr>
            <w: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4,928</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pPr>
            <w: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pPr>
            <w:r>
              <w:t> </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7,344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pPr>
            <w: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228,426</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pPr>
            <w:r>
              <w:t> </w:t>
            </w:r>
          </w:p>
        </w:tc>
      </w:tr>
    </w:tbl>
    <w:p>
      <w:pPr>
        <w:pStyle w:val="TextBody"/>
        <w:pBdr>
          <w:bottom w:val="single" w:sz="6" w:space="1" w:color="000000"/>
        </w:pBdr>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Customer relationships and other intangible assets consist of customer lists, tradenames, non-compete agreements, and renewal rights acquired in connection with the Company’s business combinations. Each asset is amortized on a straight-line basis over its respective useful life.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Goodwill and customer relationships were recognized in connection with the FIA, Advanced AgProtection, LLC (“AAP”), and The Gray Casualty and Surety Company (“Gray Surety”) acquisitions. Value of business acquired (“VOBA”) was recognized in connection with the Gray Surety acquisition. State insurance licenses consist of licenses acquired at the inception of PSIC and in connection with the acquisitions of FIA and Gray Surety. No impairment of goodwill or other intangible assets was identified as of September 30, 2026.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presents information of each major intangible asset class subject to amortization as of September 30, 2026:</w:t>
      </w:r>
    </w:p>
    <w:p>
      <w:pPr>
        <w:pStyle w:val="TextBody"/>
        <w:bidi w:val="0"/>
        <w:spacing w:lineRule="auto" w:line="273"/>
        <w:jc w:val="left"/>
      </w:pPr>
      <w:r>
        <w:t> </w:t>
      </w:r>
    </w:p>
    <w:tbl>
      <w:tblPr>
        <w:tblW w:w="6447" w:type="dxa"/>
        <w:jc w:val="left"/>
        <w:tblInd w:w="0" w:type="dxa"/>
        <w:tblLayout w:type="fixed"/>
        <w:tblCellMar>
          <w:top w:w="28" w:type="dxa"/>
          <w:left w:w="28" w:type="dxa"/>
          <w:bottom w:w="28" w:type="dxa"/>
          <w:right w:w="28" w:type="dxa"/>
        </w:tblCellMar>
      </w:tblPr>
      <w:tblGrid>
        <w:gridCol w:w="2281"/>
        <w:gridCol w:w="146"/>
        <w:gridCol w:w="277"/>
        <w:gridCol w:w="969"/>
        <w:gridCol w:w="166"/>
        <w:gridCol w:w="146"/>
        <w:gridCol w:w="211"/>
        <w:gridCol w:w="736"/>
        <w:gridCol w:w="166"/>
        <w:gridCol w:w="146"/>
        <w:gridCol w:w="211"/>
        <w:gridCol w:w="781"/>
        <w:gridCol w:w="211"/>
      </w:tblGrid>
      <w:t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Customer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Relationships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 of</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and Other</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Business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Intangible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Acquired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(VOBA)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809"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99,972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126,504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(40,985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85,519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estimated future amortization expense to be reported for the next five years is as follows:</w:t>
      </w:r>
    </w:p>
    <w:p>
      <w:pPr>
        <w:pStyle w:val="TextBody"/>
        <w:bidi w:val="0"/>
        <w:spacing w:lineRule="auto" w:line="273"/>
        <w:jc w:val="left"/>
      </w:pPr>
      <w:r>
        <w:t> </w:t>
      </w:r>
    </w:p>
    <w:tbl>
      <w:tblPr>
        <w:tblW w:w="4418" w:type="dxa"/>
        <w:jc w:val="left"/>
        <w:tblInd w:w="0" w:type="dxa"/>
        <w:tblLayout w:type="fixed"/>
        <w:tblCellMar>
          <w:top w:w="28" w:type="dxa"/>
          <w:left w:w="28" w:type="dxa"/>
          <w:bottom w:w="28" w:type="dxa"/>
          <w:right w:w="28" w:type="dxa"/>
        </w:tblCellMar>
      </w:tblPr>
      <w:tblGrid>
        <w:gridCol w:w="2656"/>
        <w:gridCol w:w="146"/>
        <w:gridCol w:w="339"/>
        <w:gridCol w:w="1086"/>
        <w:gridCol w:w="191"/>
      </w:tblGrid>
      <w:t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5,847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15,015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13,045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11,038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10,822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Year ended December 31, 2031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10,564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26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85,519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6. Reserve for Losses and Loss Adjustment Expenses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represents a reconciliation of changes in the ending reserve balances for losses and loss adjustment expenses (“LAE”):</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3845"/>
        <w:gridCol w:w="146"/>
        <w:gridCol w:w="232"/>
        <w:gridCol w:w="1024"/>
        <w:gridCol w:w="160"/>
        <w:gridCol w:w="160"/>
        <w:gridCol w:w="232"/>
        <w:gridCol w:w="859"/>
        <w:gridCol w:w="166"/>
        <w:gridCol w:w="146"/>
        <w:gridCol w:w="227"/>
        <w:gridCol w:w="1005"/>
        <w:gridCol w:w="179"/>
        <w:gridCol w:w="157"/>
        <w:gridCol w:w="227"/>
        <w:gridCol w:w="843"/>
        <w:gridCol w:w="597"/>
      </w:tblGrid>
      <w:tr>
        <w:tc>
          <w:tcPr>
            <w:tcW w:w="3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c>
          <w:tcPr>
            <w:tcW w:w="384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84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84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67"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8"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8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LAE net of reinsurance recoverables at beginning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420,947</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199,185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275,959</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155,299</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845"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Add: Balances acquired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22,178</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6,788</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845"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Add: Incurred losses and LAE, net of reinsurance, related to:</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5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384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147,607</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78,946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358,347</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174,703</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pPr>
            <w:r>
              <w:t> </w:t>
            </w:r>
          </w:p>
        </w:tc>
      </w:tr>
      <w:tr>
        <w:tc>
          <w:tcPr>
            <w:tcW w:w="384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4,039</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(20,615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(16,964</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84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incurred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151,646</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337,732</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157,739</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384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Deduct: Loss and LAE payments, net of reinsurance, related to: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56"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3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pPr>
            <w:r>
              <w:t> </w:t>
            </w:r>
          </w:p>
        </w:tc>
      </w:tr>
      <w:tr>
        <w:tc>
          <w:tcPr>
            <w:tcW w:w="384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Current year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48,058</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76,039</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38,312</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pPr>
            <w:r>
              <w:t> </w:t>
            </w:r>
          </w:p>
        </w:tc>
      </w:tr>
      <w:tr>
        <w:tc>
          <w:tcPr>
            <w:tcW w:w="384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Prior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23,972</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59,267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37,801</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pPr>
            <w:r>
              <w:t> </w:t>
            </w:r>
          </w:p>
        </w:tc>
      </w:tr>
      <w:tr>
        <w:tc>
          <w:tcPr>
            <w:tcW w:w="384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72,030</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28,284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135,306</w:t>
            </w:r>
          </w:p>
        </w:tc>
        <w:tc>
          <w:tcPr>
            <w:tcW w:w="17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76,113</w:t>
            </w:r>
          </w:p>
        </w:tc>
        <w:tc>
          <w:tcPr>
            <w:tcW w:w="59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8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LAE net of reinsurance recoverables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500,563</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5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243,713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500,563</w:t>
            </w:r>
          </w:p>
        </w:tc>
        <w:tc>
          <w:tcPr>
            <w:tcW w:w="17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243,713</w:t>
            </w:r>
          </w:p>
        </w:tc>
        <w:tc>
          <w:tcPr>
            <w:tcW w:w="59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84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Add: Reinsurance recoverables on unpaid losses and LAE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604,411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604,411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440,559</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8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LAE gross of reinsurance recoverables on unpaid losses and LAE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1,104,974</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684,272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1,104,974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684,272</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pBdr>
          <w:bottom w:val="single" w:sz="6" w:space="1" w:color="000000"/>
        </w:pBdr>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Represents amounts recognized in Reserve for losses and LAE net of reinsurance recoverables upon acquisition of Gray Surety and FIA on January 31, 2026 and January 1, 2025, respectively, in accordance with ASC 805, Business Combinations. See Note 23 of the Notes to the Consolidated Financial Statements in our 2025 Annual Report on Form 10-K and Note 14 of this Quarterly Report on Form 10-Q for additional information regarding the acquisitions.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Losses for the three months ended September 30, 2026 and 2025 include $0.3 million and an insignificant amount, respectively, of gains on derivative instruments. Losses for the nine months ended September 30, 2026 and 2025 include $18.2 million and an insignificant amount, respectively, of losses on derivative instruments.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experienced adverse prior year development of $4.0 million and favorable prior year development of $6.1 million during the three months ended September 30, 2026 and 2025,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experienced favorable prior year development of $20.6 million and $17.0 million during the nine months ended September 30, 2026 and 2025,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Adverse prior year development during the three months ended September 30, 2026 was primarily due to higher than anticipated severity of attritional losses, primarily related to Crop losses reallocated between calendar years. Favorable prior year development during the three months ended September 30, 2025 was primarily due to lower than anticipated severity of attritional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Favorable prior year development during the nine months ended September 30, 2026 was primarily due to lower than anticipated severity of attritional losses. Favorable prior year development during the nine months ended September 30, 2025 was primarily due to lower than anticipated severity of attritional losses.</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7. Stockholders</w:t>
      </w:r>
      <w:r>
        <w:rPr>
          <w:rFonts w:ascii="Times New Roman" w:hAnsi="Times New Roman"/>
          <w:color w:val="000000"/>
          <w:sz w:val="20"/>
        </w:rPr>
        <w:t xml:space="preserve">’ </w:t>
      </w:r>
      <w:r>
        <w:rPr>
          <w:rFonts w:ascii="Times New Roman" w:hAnsi="Times New Roman"/>
          <w:b/>
          <w:color w:val="000000"/>
          <w:sz w:val="20"/>
        </w:rPr>
        <w:t>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As of September 30, 2026 and December 31, 2025, the Company had 5,000,000 preferred shares authorized with a par value of $0.0001 and no preferred shares issued and outstanding. As of September 30, 2026 and December 31, 2025, the Company had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500,000,000 common shares authorized and 26,290,067 and 26,520,417 common shares issued and outstanding, respectively, with a par value of $0.0001. Additional paid-in capital was $553.6 million as of September 30, 2026 and $523.2 million as of December 31, 2025.</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Common stock reserved for future issuance consists of the following as of September 30, 2026:</w:t>
      </w:r>
    </w:p>
    <w:p>
      <w:pPr>
        <w:pStyle w:val="TextBody"/>
        <w:bidi w:val="0"/>
        <w:spacing w:lineRule="auto" w:line="273"/>
        <w:jc w:val="left"/>
      </w:pPr>
      <w:r>
        <w:t> </w:t>
      </w:r>
    </w:p>
    <w:tbl>
      <w:tblPr>
        <w:tblW w:w="8030" w:type="dxa"/>
        <w:jc w:val="left"/>
        <w:tblInd w:w="0" w:type="dxa"/>
        <w:tblLayout w:type="fixed"/>
        <w:tblCellMar>
          <w:top w:w="28" w:type="dxa"/>
          <w:left w:w="28" w:type="dxa"/>
          <w:bottom w:w="28" w:type="dxa"/>
          <w:right w:w="28" w:type="dxa"/>
        </w:tblCellMar>
      </w:tblPr>
      <w:tblGrid>
        <w:gridCol w:w="6616"/>
        <w:gridCol w:w="146"/>
        <w:gridCol w:w="146"/>
        <w:gridCol w:w="931"/>
        <w:gridCol w:w="191"/>
      </w:tblGrid>
      <w:t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6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 options outstanding under 2019 Equity Incentive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448,532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6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Restricted stock units outstanding under 2019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324,688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6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Performance stock units outstanding under 2019 Equity Incentive Plan, at target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431,265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6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authorized for future issuance under 2019 Equity Incentive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4,654,538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6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authorized for future issuance under 2019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1,805,905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6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7,664,928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i/>
          <w:color w:val="000000"/>
          <w:sz w:val="20"/>
        </w:rPr>
      </w:pPr>
      <w:r>
        <w:rPr>
          <w:rFonts w:ascii="Times New Roman" w:hAnsi="Times New Roman"/>
          <w:i/>
          <w:color w:val="000000"/>
          <w:sz w:val="20"/>
        </w:rPr>
        <w:t>Stock based compensation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the Company’s stock-based compensation expense for each period presented:</w:t>
      </w:r>
    </w:p>
    <w:p>
      <w:pPr>
        <w:pStyle w:val="TextBody"/>
        <w:bidi w:val="0"/>
        <w:spacing w:lineRule="auto" w:line="273"/>
        <w:jc w:val="left"/>
      </w:pPr>
      <w:r>
        <w:t> </w:t>
      </w:r>
    </w:p>
    <w:tbl>
      <w:tblPr>
        <w:tblW w:w="9041" w:type="dxa"/>
        <w:jc w:val="left"/>
        <w:tblInd w:w="0" w:type="dxa"/>
        <w:tblLayout w:type="fixed"/>
        <w:tblCellMar>
          <w:top w:w="28" w:type="dxa"/>
          <w:left w:w="28" w:type="dxa"/>
          <w:bottom w:w="28" w:type="dxa"/>
          <w:right w:w="28" w:type="dxa"/>
        </w:tblCellMar>
      </w:tblPr>
      <w:tblGrid>
        <w:gridCol w:w="2296"/>
        <w:gridCol w:w="146"/>
        <w:gridCol w:w="354"/>
        <w:gridCol w:w="960"/>
        <w:gridCol w:w="245"/>
        <w:gridCol w:w="245"/>
        <w:gridCol w:w="354"/>
        <w:gridCol w:w="960"/>
        <w:gridCol w:w="146"/>
        <w:gridCol w:w="146"/>
        <w:gridCol w:w="306"/>
        <w:gridCol w:w="981"/>
        <w:gridCol w:w="212"/>
        <w:gridCol w:w="212"/>
        <w:gridCol w:w="306"/>
        <w:gridCol w:w="981"/>
        <w:gridCol w:w="191"/>
      </w:tblGrid>
      <w:t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2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18"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98"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2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7,022</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5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23,246</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15,471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2019 Equity Incentive Plan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Recipients of stock options can purchase shares of the Company’s common stock at a price equal to the common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stock option transactions for the nine months ended September 30, 2026:</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1805"/>
        <w:gridCol w:w="146"/>
        <w:gridCol w:w="171"/>
        <w:gridCol w:w="919"/>
        <w:gridCol w:w="166"/>
        <w:gridCol w:w="146"/>
        <w:gridCol w:w="529"/>
        <w:gridCol w:w="1436"/>
        <w:gridCol w:w="146"/>
        <w:gridCol w:w="146"/>
        <w:gridCol w:w="709"/>
        <w:gridCol w:w="1758"/>
        <w:gridCol w:w="146"/>
        <w:gridCol w:w="146"/>
        <w:gridCol w:w="389"/>
        <w:gridCol w:w="1251"/>
        <w:gridCol w:w="196"/>
      </w:tblGrid>
      <w:tr>
        <w:tc>
          <w:tcPr>
            <w:tcW w:w="1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180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24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6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Aggregate intrinsic value ($ 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8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499,676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0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8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51,273</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8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18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(50,653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6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4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18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cancelled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4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6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r>
      <w:tr>
        <w:tc>
          <w:tcPr>
            <w:tcW w:w="180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September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75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41,397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18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 and Exercisable at September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1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448,532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30.99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0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41,397</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As of September 30, 2026, the Company had no unrecognized stock-based compensation expense related to stock options.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RSUs are valued using the closing price of the Company’s common stock on their grant date. The Company has issued RSUs with vesting periods of one to five years. Vesting is generally subject to continued service with the Company; however, certain employees who meet the requirements of the Company’s Equity Award Retirement Policy may continue to vest their RSUs following a qualified retirement.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RSU transactions for the nine months ended September 30, 2026:</w:t>
      </w:r>
    </w:p>
    <w:p>
      <w:pPr>
        <w:pStyle w:val="TextBody"/>
        <w:bidi w:val="0"/>
        <w:spacing w:lineRule="auto" w:line="273"/>
        <w:jc w:val="left"/>
      </w:pPr>
      <w:r>
        <w:t> </w:t>
      </w:r>
    </w:p>
    <w:tbl>
      <w:tblPr>
        <w:tblW w:w="9620" w:type="dxa"/>
        <w:jc w:val="left"/>
        <w:tblInd w:w="0" w:type="dxa"/>
        <w:tblLayout w:type="fixed"/>
        <w:tblCellMar>
          <w:top w:w="28" w:type="dxa"/>
          <w:left w:w="28" w:type="dxa"/>
          <w:bottom w:w="28" w:type="dxa"/>
          <w:right w:w="28" w:type="dxa"/>
        </w:tblCellMar>
      </w:tblPr>
      <w:tblGrid>
        <w:gridCol w:w="3931"/>
        <w:gridCol w:w="146"/>
        <w:gridCol w:w="235"/>
        <w:gridCol w:w="1355"/>
        <w:gridCol w:w="166"/>
        <w:gridCol w:w="146"/>
        <w:gridCol w:w="820"/>
        <w:gridCol w:w="2630"/>
        <w:gridCol w:w="191"/>
      </w:tblGrid>
      <w:t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9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9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296,285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89.73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9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194,866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120.61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9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(152,249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80.97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9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3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9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Non-vested outstanding at September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As of September 30, 2026, the Company had approximately $27.0 million of total unrecognized stock-based compensation expense related to RSUs expected to be recognized over a weighted-average period of 1.8 years.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Performance Stock Units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issues PSUs with a combination of service, performance, and market conditions.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majority of PSUs were issued via grants made to certain executives during 2021 and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September 30, 2026, four stock price milestones have been achieved with respect to the PSU award granted to the Chief Executive Officer. Additionally, two stock price milestones have been achieved with respect to each of the PSU awards granted to four other executives. These PSUs have been earned, but will not vest until the fifth anniversary of the grant date, subject to continued service.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The PSUs’ performance period is primarily a three-year period beginning with the grant date. At the end of the performance period, the actual results are measured against the predetermined targets to determine the number of PSUs to be earned as compensation. The earned PSUs are also subject to a required service period of approximately three years from the grant date before vesting and being issued as common stock.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Effective starting with 2025 grants, PSUs issued to executives include a relative total shareholder return (“RTSR”) modifier. The RTSR modifier adjusts PSU payouts up or down based on the Company’s shareholder return relative to the S&amp;P 1500 Property &amp;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Casualty Insurance Index (the “Index”) over a three-year measurement period. These PSUs were valued using a Monte Carlo simulation with key valuation assumptions as follows: </w:t>
      </w:r>
    </w:p>
    <w:p>
      <w:pPr>
        <w:pStyle w:val="TextBody"/>
        <w:bidi w:val="0"/>
        <w:spacing w:lineRule="auto" w:line="273"/>
        <w:jc w:val="left"/>
      </w:pPr>
      <w:r>
        <w:t> </w:t>
      </w:r>
    </w:p>
    <w:tbl>
      <w:tblPr>
        <w:tblW w:w="5875" w:type="dxa"/>
        <w:jc w:val="left"/>
        <w:tblInd w:w="0" w:type="dxa"/>
        <w:tblLayout w:type="fixed"/>
        <w:tblCellMar>
          <w:top w:w="28" w:type="dxa"/>
          <w:left w:w="28" w:type="dxa"/>
          <w:bottom w:w="28" w:type="dxa"/>
          <w:right w:w="28" w:type="dxa"/>
        </w:tblCellMar>
      </w:tblPr>
      <w:tblGrid>
        <w:gridCol w:w="2566"/>
        <w:gridCol w:w="146"/>
        <w:gridCol w:w="289"/>
        <w:gridCol w:w="926"/>
        <w:gridCol w:w="271"/>
        <w:gridCol w:w="146"/>
        <w:gridCol w:w="289"/>
        <w:gridCol w:w="926"/>
        <w:gridCol w:w="316"/>
      </w:tblGrid>
      <w:t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 Awards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 Awards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Term</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 years</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 years</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256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Risk-free interest rate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5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8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56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Weighted average fair value</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125.79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116.50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pBdr>
          <w:bottom w:val="single" w:sz="6" w:space="1" w:color="000000"/>
        </w:pBdr>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The risk-free interest rate was based on the zero-coupon U.S. Treasury yield curve on the valuation date, with a maturity matched to the performance period.</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Volatility is derived from historical stock prices as well as implied volatility when appropriate and available.</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weighted average of fair values used to record compensation expense as determined by the Monte Carlo simulation.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PSU transactions for the nine months ended September 30, 2026:</w:t>
      </w:r>
    </w:p>
    <w:p>
      <w:pPr>
        <w:pStyle w:val="TextBody"/>
        <w:bidi w:val="0"/>
        <w:spacing w:lineRule="auto" w:line="273"/>
        <w:jc w:val="left"/>
      </w:pPr>
      <w:r>
        <w:t> </w:t>
      </w:r>
    </w:p>
    <w:tbl>
      <w:tblPr>
        <w:tblW w:w="9620" w:type="dxa"/>
        <w:jc w:val="left"/>
        <w:tblInd w:w="0" w:type="dxa"/>
        <w:tblLayout w:type="fixed"/>
        <w:tblCellMar>
          <w:top w:w="28" w:type="dxa"/>
          <w:left w:w="28" w:type="dxa"/>
          <w:bottom w:w="28" w:type="dxa"/>
          <w:right w:w="28" w:type="dxa"/>
        </w:tblCellMar>
      </w:tblPr>
      <w:tblGrid>
        <w:gridCol w:w="3931"/>
        <w:gridCol w:w="146"/>
        <w:gridCol w:w="235"/>
        <w:gridCol w:w="1355"/>
        <w:gridCol w:w="166"/>
        <w:gridCol w:w="146"/>
        <w:gridCol w:w="820"/>
        <w:gridCol w:w="2630"/>
        <w:gridCol w:w="191"/>
      </w:tblGrid>
      <w:t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9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34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9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502,022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49.05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9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120,375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105.64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9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(180,383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0"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9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3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9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Non-vested outstanding at September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431,265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PSU grants above represent the number of shares that would vest based on achievement of all stock price milestones in the 2021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September 30, 2026, the Company had approximately $14.2 million of total unrecognized stock-based compensation expense related to PSUs expected to be recognized over a weighted-average period of 1.0 years.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2019 Employee Stock Purchase Plan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April 16, 2019, the Company’s 2019 Employee Stock Purchase Plan (the “2019 ESPP”) became effective. A total of 240,000 shares of common stock were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15,339 shares pursuant to the ESPP during the nine months ended September 30, 2026.</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Share repurchases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July 2025, the Company’s Board of Directors approved a share repurchase program, (the “2025 Repurchase Program”) authorizing the repurchase of up to $150 million of outstanding shares of common stock through July 31, 2027. On April 30, 2026, the Company’s Board of Directors approved a share repurchase program, effective May 6, 2026, (the “2026 Repurchase Program”) which replaces the 2025 Repurchase Program, and authorizes the repurchase of up to $200 million of our outstanding common stock through May 6, 2028.</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the nine months ended September 30, 2026, the Company repurchased 226,130 shares for $27.3 million at an average price of $120.65 per share under the 2025 Repurchase Program, and 402,844 shares for $45.7 million at an average price of $113.44 per share under the 2026 Repurchase Program. Approximately $154.3 million remains available for future repurchases under the 2026 Repurchase Program. The Company accounts for share repurchases by charging the excess of repurchase price over the common stock’s par value entirely to retained earnings. All repurchased shares are retired and become authorized but unissued shares.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July 30, 2026, the Company’s Board of Directors declared a quarterly cash dividend of $0.45 per share of common stock, payable to stockholders of record as of August 19, 2026, and paid on September 2, 2026.</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Holders of unvested RSUs and PSUs are entitled to dividend equivalents on the same per-share basis as dividends declared on the Company’s common stock. Dividend equivalents accrue when dividends are declared and are paid only if and when the underlying RSUs or PSUs vest; dividend equivalents related to any RSUs or PSUs that are forfeited are also forfeited. Dividends and dividend equivalents declared during the three and nine months ended September 30, 2026 were $12.2 million, of which $11.8 million was paid in cash to holders of common stock and $0.4 million represents dividend equivalents accrued on unvested RSUs and PSUs. These amounts are reflected within retained earnings in the Company’s unaudited condensed consolidated statement of changes in stockholders’ equity.</w:t>
      </w:r>
    </w:p>
    <w:p>
      <w:pPr>
        <w:pStyle w:val="TextBody"/>
        <w:bidi w:val="0"/>
        <w:spacing w:lineRule="auto" w:line="273" w:before="200" w:after="283"/>
        <w:jc w:val="left"/>
        <w:rPr>
          <w:rFonts w:ascii="Times New Roman" w:hAnsi="Times New Roman"/>
          <w:sz w:val="20"/>
        </w:rPr>
      </w:pPr>
      <w:r>
        <w:rPr>
          <w:rFonts w:ascii="Times New Roman" w:hAnsi="Times New Roman"/>
          <w:b/>
          <w:color w:val="000000"/>
          <w:sz w:val="20"/>
        </w:rPr>
        <w:t>8. Accumulated Other Comprehensive Loss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Changes in accumulated other comprehensive income (loss) (“AOCI”) are as follows:</w:t>
      </w:r>
    </w:p>
    <w:p>
      <w:pPr>
        <w:pStyle w:val="TextBody"/>
        <w:bidi w:val="0"/>
        <w:spacing w:lineRule="auto" w:line="273"/>
        <w:jc w:val="left"/>
      </w:pPr>
      <w:r>
        <w:t> </w:t>
      </w:r>
    </w:p>
    <w:tbl>
      <w:tblPr>
        <w:tblW w:w="9412" w:type="dxa"/>
        <w:jc w:val="left"/>
        <w:tblInd w:w="0" w:type="dxa"/>
        <w:tblLayout w:type="fixed"/>
        <w:tblCellMar>
          <w:top w:w="28" w:type="dxa"/>
          <w:left w:w="28" w:type="dxa"/>
          <w:bottom w:w="28" w:type="dxa"/>
          <w:right w:w="28" w:type="dxa"/>
        </w:tblCellMar>
      </w:tblPr>
      <w:tblGrid>
        <w:gridCol w:w="5856"/>
        <w:gridCol w:w="146"/>
        <w:gridCol w:w="287"/>
        <w:gridCol w:w="1001"/>
        <w:gridCol w:w="225"/>
        <w:gridCol w:w="198"/>
        <w:gridCol w:w="287"/>
        <w:gridCol w:w="1001"/>
        <w:gridCol w:w="411"/>
      </w:tblGrid>
      <w:tr>
        <w:tc>
          <w:tcPr>
            <w:tcW w:w="5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99"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(2,506</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(26,845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(81,505</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28,478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Federal 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17,635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(63,870</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22,556</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249</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Federal income tax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AOCI,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5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8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(63,760</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22,753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58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(66,266</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(4,092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9. Underwriting Information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has a single reportable segment and offers specialty insurance products. Gross written premiums (“GWP”) by product are presented below:</w:t>
      </w:r>
    </w:p>
    <w:p>
      <w:pPr>
        <w:pStyle w:val="TextBody"/>
        <w:bidi w:val="0"/>
        <w:spacing w:lineRule="auto" w:line="273"/>
        <w:jc w:val="left"/>
      </w:pPr>
      <w:r>
        <w:t> </w:t>
      </w:r>
    </w:p>
    <w:tbl>
      <w:tblPr>
        <w:tblW w:w="10583" w:type="dxa"/>
        <w:jc w:val="left"/>
        <w:tblInd w:w="0" w:type="dxa"/>
        <w:tblLayout w:type="fixed"/>
        <w:tblCellMar>
          <w:top w:w="28" w:type="dxa"/>
          <w:left w:w="28" w:type="dxa"/>
          <w:bottom w:w="28" w:type="dxa"/>
          <w:right w:w="28" w:type="dxa"/>
        </w:tblCellMar>
      </w:tblPr>
      <w:tblGrid>
        <w:gridCol w:w="111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826"/>
        <w:gridCol w:w="146"/>
        <w:gridCol w:w="146"/>
        <w:gridCol w:w="146"/>
        <w:gridCol w:w="511"/>
        <w:gridCol w:w="256"/>
        <w:gridCol w:w="146"/>
        <w:gridCol w:w="196"/>
        <w:gridCol w:w="826"/>
        <w:gridCol w:w="146"/>
        <w:gridCol w:w="146"/>
        <w:gridCol w:w="146"/>
        <w:gridCol w:w="511"/>
        <w:gridCol w:w="501"/>
      </w:tblGrid>
      <w:tr>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34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7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34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1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b/>
                <w:color w:val="000000"/>
                <w:sz w:val="18"/>
              </w:rPr>
              <w:t>Product</w:t>
            </w:r>
            <w:r>
              <w:rPr>
                <w:rFonts w:ascii="Times New Roman" w:hAnsi="Times New Roman"/>
                <w:b/>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Crop</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226,668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29.6</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119,757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20.1</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391,810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19.3</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207,440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13.5</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Casualty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176,784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23.0</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170,994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28.6</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580,576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28.7</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448,484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29.2</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Inland Marine and Property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160,706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21.0</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141,739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23.7</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496,998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24.5</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408,105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26.6</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1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Earthquake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154,478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20.1</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149,940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25.1</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438,442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21.6</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431,345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28.1</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1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Surety &amp;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11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767,046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597,171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2,027,330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1,535,623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6" w:space="1" w:color="000000"/>
        </w:pBdr>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Beginning in 2026,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Gross written premiums by state are as follows:</w:t>
      </w:r>
    </w:p>
    <w:p>
      <w:pPr>
        <w:pStyle w:val="TextBody"/>
        <w:bidi w:val="0"/>
        <w:spacing w:lineRule="auto" w:line="273"/>
        <w:jc w:val="left"/>
      </w:pPr>
      <w:r>
        <w:t> </w:t>
      </w:r>
    </w:p>
    <w:tbl>
      <w:tblPr>
        <w:tblW w:w="10523" w:type="dxa"/>
        <w:jc w:val="left"/>
        <w:tblInd w:w="0" w:type="dxa"/>
        <w:tblLayout w:type="fixed"/>
        <w:tblCellMar>
          <w:top w:w="28" w:type="dxa"/>
          <w:left w:w="28" w:type="dxa"/>
          <w:bottom w:w="28" w:type="dxa"/>
          <w:right w:w="28" w:type="dxa"/>
        </w:tblCellMar>
      </w:tblPr>
      <w:tblGrid>
        <w:gridCol w:w="105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826"/>
        <w:gridCol w:w="146"/>
        <w:gridCol w:w="146"/>
        <w:gridCol w:w="146"/>
        <w:gridCol w:w="511"/>
        <w:gridCol w:w="256"/>
        <w:gridCol w:w="146"/>
        <w:gridCol w:w="196"/>
        <w:gridCol w:w="826"/>
        <w:gridCol w:w="146"/>
        <w:gridCol w:w="146"/>
        <w:gridCol w:w="146"/>
        <w:gridCol w:w="511"/>
        <w:gridCol w:w="501"/>
      </w:tblGrid>
      <w:tr>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34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7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34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0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State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California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175,503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22.9</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168,739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498,429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24.6</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472,276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30.8</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0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Texas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45,159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38,609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170,240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119,308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7.8</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Missouri</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38,019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13,420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57,038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25,219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0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Hawaii</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31,610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26,405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81,714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71,307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Illinois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30,454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20,911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55,725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39,548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0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Florida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28,648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23,770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92,999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66,391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Kansas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24,476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11,206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45,698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16,847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0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Oklahoma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23,795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10,587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49,107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16,535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1.1</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0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369,382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283,524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47.4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976,380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708,192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46.1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10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767,046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597,171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2,027,330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1,535,623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Gross written premiums by insurance subsidiary are as follows:</w:t>
      </w:r>
    </w:p>
    <w:p>
      <w:pPr>
        <w:pStyle w:val="TextBody"/>
        <w:bidi w:val="0"/>
        <w:spacing w:lineRule="auto" w:line="273"/>
        <w:jc w:val="left"/>
      </w:pPr>
      <w:r>
        <w:t> </w:t>
      </w:r>
    </w:p>
    <w:tbl>
      <w:tblPr>
        <w:tblW w:w="10428" w:type="dxa"/>
        <w:jc w:val="left"/>
        <w:tblInd w:w="0" w:type="dxa"/>
        <w:tblLayout w:type="fixed"/>
        <w:tblCellMar>
          <w:top w:w="28" w:type="dxa"/>
          <w:left w:w="28" w:type="dxa"/>
          <w:bottom w:w="28" w:type="dxa"/>
          <w:right w:w="28" w:type="dxa"/>
        </w:tblCellMar>
      </w:tblPr>
      <w:tblGrid>
        <w:gridCol w:w="961"/>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826"/>
        <w:gridCol w:w="146"/>
        <w:gridCol w:w="146"/>
        <w:gridCol w:w="146"/>
        <w:gridCol w:w="511"/>
        <w:gridCol w:w="256"/>
        <w:gridCol w:w="146"/>
        <w:gridCol w:w="196"/>
        <w:gridCol w:w="826"/>
        <w:gridCol w:w="146"/>
        <w:gridCol w:w="146"/>
        <w:gridCol w:w="146"/>
        <w:gridCol w:w="511"/>
        <w:gridCol w:w="501"/>
      </w:tblGrid>
      <w:t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434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07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344"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in thousands)</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 of</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8"/>
              </w:rPr>
            </w:pPr>
            <w:r>
              <w:rPr>
                <w:rFonts w:ascii="Times New Roman" w:hAnsi="Times New Roman"/>
                <w:b/>
                <w:color w:val="000000"/>
                <w:sz w:val="18"/>
              </w:rPr>
              <w:t>GWP</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8"/>
              </w:rPr>
            </w:pPr>
            <w:r>
              <w:rPr>
                <w:rFonts w:ascii="Times New Roman" w:hAnsi="Times New Roman"/>
                <w:b/>
                <w:color w:val="000000"/>
                <w:sz w:val="18"/>
              </w:rPr>
              <w:t>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5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pPr>
            <w:r>
              <w:t> </w:t>
            </w:r>
          </w:p>
        </w:tc>
      </w:tr>
      <w:t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437,645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57.1</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317,177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53.1</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1,039,575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51.3</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781,078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50.9</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9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PESIC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271,797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35.4</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252,318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42.3</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846,143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41.7</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681,048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44.4</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Laulima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28,003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22,804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70,080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58,974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3.8</w:t>
            </w:r>
          </w:p>
        </w:tc>
        <w:tc>
          <w:tcPr>
            <w:tcW w:w="5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96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PCSC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26,706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60,685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9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8"/>
              </w:rPr>
            </w:pPr>
            <w:r>
              <w:rPr>
                <w:rFonts w:ascii="Times New Roman" w:hAnsi="Times New Roman"/>
                <w:color w:val="000000"/>
                <w:sz w:val="18"/>
              </w:rPr>
              <w:t>FIA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4,872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10,847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14,523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0.9</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r>
        <w:tc>
          <w:tcPr>
            <w:tcW w:w="9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767,046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597,171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2,027,330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1,535,623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273"/>
        <w:jc w:val="left"/>
      </w:pPr>
      <w: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calculates its tax provision in interim periods using its best estimate of the effective tax rate expected for the full year. For the three months ended September 30, 2026 and 2025, the Company’s income tax rates of 22.9% and 23.4%, respectively, were higher than the statutory rate of 21% due primarily to non-deductible executive compensation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nine months ended September 30, 2026 and 2025, the Company’s income tax rates of 22.7% and 22.0%, respectively, were higher than the statutory rate of 21% due primarily to non-deductible executive compensation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into law. The OBBBA extends or makes permanent various tax provisions that were originally enacted in the 2017 Tax Cuts and Jobs Act and were set to expire at the end of 2025. The Company does not expect the enactment of OBBBA to materially impact the Company’s overall income tax expense.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11. Earnings Per Share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sets out earnings per share of common stock:</w:t>
      </w:r>
    </w:p>
    <w:tbl>
      <w:tblPr>
        <w:tblW w:w="10205" w:type="dxa"/>
        <w:jc w:val="left"/>
        <w:tblInd w:w="0" w:type="dxa"/>
        <w:tblLayout w:type="fixed"/>
        <w:tblCellMar>
          <w:top w:w="28" w:type="dxa"/>
          <w:left w:w="28" w:type="dxa"/>
          <w:bottom w:w="28" w:type="dxa"/>
          <w:right w:w="28" w:type="dxa"/>
        </w:tblCellMar>
      </w:tblPr>
      <w:tblGrid>
        <w:gridCol w:w="2608"/>
        <w:gridCol w:w="146"/>
        <w:gridCol w:w="263"/>
        <w:gridCol w:w="1296"/>
        <w:gridCol w:w="181"/>
        <w:gridCol w:w="181"/>
        <w:gridCol w:w="263"/>
        <w:gridCol w:w="1296"/>
        <w:gridCol w:w="146"/>
        <w:gridCol w:w="146"/>
        <w:gridCol w:w="263"/>
        <w:gridCol w:w="1295"/>
        <w:gridCol w:w="182"/>
        <w:gridCol w:w="182"/>
        <w:gridCol w:w="263"/>
        <w:gridCol w:w="1295"/>
        <w:gridCol w:w="199"/>
      </w:tblGrid>
      <w:tr>
        <w:tc>
          <w:tcPr>
            <w:tcW w:w="2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4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348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48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shares and per share data)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48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shares and per share data)</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65,335</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51,455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160,874</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140,905</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26,308,497</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26,637,592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26,408,217</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9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26,683,856</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Common Share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687,077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808,927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735,161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849,677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26,995,574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27,446,519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27,143,378</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27,533,533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2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5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9"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0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6.09</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5.28</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26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Common share equivalents relate primarily to outstanding stock options, RSUs and PSUs under the 2019 Plan and unpurchased shares under the 2019 ESPP and are calculated using the treasury stock method.</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12. Reinsurance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 utilizes reinsurance in order to limit its exposure to losses and enable it to underwrite policies with sufficient limits to meet policyholder needs. The Company utilizes both excess of loss (XOL) and quota share reinsurance.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the Company’s catastrophe event retention is $20.0 million for earthquake events and $11.0 million for continental hurricane events and all other perils. Laulima maintains Hawaii hurricane reinsurance coverage through a standalone XOL treaty, which provides per-occurrence coverage up to $865.0 million with a retention of $1.5 million. As of September 30, 2026, the Company’s XOL reinsurance structure provides protection up to $3.9 billion for earthquake events and $135.0 million for continental U.S. hurricane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to reinsurance purchased from traditional reinsurers, the Company utilizes collateralized protection from the insurance-linked securities market through catastrophe bonds issued via Torrey Pines Re Ltd., a Bermuda-domiciled special purpose insurer. The Company closed a $360 million catastrophe bond in the second quarter of 2026, effective June 1, 2026 through June 1, 2029; a $525 million catastrophe bond in the second quarter of 2025, effective June 1, 2025 through June 1, 2028; a $420 million catastrophe bond in the second quarter of 2024, effective June 1, 2024 through June 1, 2027; and a $200 million catastrophe bond in the second quarter of 2023, effective June 1, 2023 through June 1, 2026. These catastrophe bonds provide indemnity-based reinsurance coverage for catastrophe events.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13. Credit Agreements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U.S. Bank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December 2021, the Company entered into a credit agreement with U.S. Bank National Association (the “2021 Credit Agreement”), which provided a revolving credit facility of up to $100 million through December 8, 2026. In January 2026, the Company entered into a new credit agreement (the “2026 Credit Agreement”) that replaced the 2021 Credit Agreement.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2026 Credit Agreement provides for unsecured credit facilities totaling $450 million, comprised of a $150 million revolving facility (the “Revolving Facility”) and a $300 million term loan (the “Term Loan”), each maturing on January 27, 2031. Borrowings under the 2026 Credit Agreement bear interest at variable rates based on Term Secured Overnight Financing Rate (“SOFR”) or an alternate base rate, plus an applicable margin determined by the Company’s debt-to-capital ratio (as defined in the 2026 Credit Agreement). In addition to interest on funds borrowed, the Company must pay an unused line fee of up to 0.25%, determined by the Company’s debt-to-capital ratio, on any amounts not borrowed. The Term Loan amortizes quarterly, and borrowings may be prepaid in full or in part with no penalty or premium. Obligations under the 2026 Credit Agreement are guaranteed by certain of the Company’s domestic subsidiaries and are unsecured, subject to a negative pledge. Proceeds from the 2026 Credit Agreement may be used for general corporate purposes, including permitted acquisitions and the refinancing of existing indebtedness.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2026 Credit Agreement contains customary representations, warranties, and affirmative and negative covenants, including, among other things, financial covenants, restrictions on indebtedness, liens, investments, mergers, dispositions, prepayment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of other indebtedness, dividends, and other distributions. The financial covenants include requirements to maintain a permissible debt to capital ratio, a minimum consolidated net worth, a minimum risk-based capital ratio and minimum A.M. Best financial strength rating. The 2026 Credit Agreement also contains customary events of default, such as non-compliance with financial covenants. If an event of default occurs, any debt may be declared immediately due and payable. As of September 30, 2026, the Company was in compliance with all debt covenants.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the Company had $294.0 million outstanding on its Term Loan, net of debt issuance costs. Interest expense on the Term Loan was $4.1 million and $11.0 million for the three and nine months ended September 30, 2026,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and December 31, 2025, the Company had no borrowings outstanding on the 2021 Credit Agreement. Interest expense on the 2021 Credit Agreement was insignificant for the three and nine months ended September 30, 2026. Interest expense on the 2021 Credit Agreement was $0.1 million and $0.3 million for the three and nine months ended September 30, 2025,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the Company had no borrowings outstanding on the Revolving Facility. Interest expense on the Revolving Facility was $0.1 million and $0.3 million for the three and nine months ended September 30, 2026, respectively.</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FHLB Line of Credit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the Company had $21.0 million outstanding through the FHLB at the overnight rate of 4.36%. The Company had no borrowings outstanding through the FHLB as of December 31, 2025. Interest expense on the FHLB line of credit was $0.9 million and $1.4 million for the three and nine months ended September 30, 2026, respectively. Interest expense on the FHLB line of credit was insignificant for the three and nine months ended September 30, 2025.</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14. Business Acquisitions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January 31, 2026, the Company completed the acquisition of 100% of the issued and outstanding equity interests of Gray Surety for aggregate consideration of approximately $314.0 million. The acquisition was funded with proceeds from the Term Loan (as defined in Note 13) and cash on hand and was completed to expand the Company’s surety platform. The Company subsequently renamed Gray Surety to Palomar Casualty and Surety Company (“PCSC”).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acquisition has been accounted for as a business combination in accordance with Accounting Standards Codification (“ASC”) 805, Business Combinations and ASC 944 Financial Services - Insurance. The allocation of the purchase price to the assets acquired and liabilities assumed remains preliminary and subject to adjustment during the measurement period, which will not exceed one year from the acquisition date. The results of operations of Gray Surety have been included in the Company’s condensed consolidated financial statements since the January 31, 2026 acquisition date. For the three and nine months ended September 30, 2026, PCSC contributed revenue of $22.3 million and $55.9 million, respectively, and net loss of $0.5 million and $6.3 million, respectively.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the three months ended June 30, 2026, the Company recorded measurement-period adjustments primarily related to the valuation of customer relationships, a non-compete agreement and VOBA. These adjustments increased customer relationship intangible assets by $15.6 million, resulted in the recognition of a non-compete intangible asset of $0.7 million, increased VOBA by $3.5 million, increased the deferred tax liability by $3.6 million and decreased goodwill by $16.1 million.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result of these measurement-period adjustments, during the three months ended June 30, 2026, the Company recognized $1.4 million of additional amortization expense related to amounts that would have been recognized during the three months ended March 31, 2026, including $1.2 million within Other underwriting expenses and $0.2 million within Acquisition expenses.</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recognized $7.4 million of acquisition-related expenses associated with the Gray Surety acquisition for the nine months ended September 30, 2026, and insignificant acquisition-related expenses for the three months ended September 30, 2026. These expenses were recognized within Other underwriting expenses in the condensed consolidated statements of income and comprehensive income and primarily consisted of advisory, legal, accounting, valuation, and other due diligence costs.</w:t>
      </w:r>
    </w:p>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 summarizes the allocation of the purchase price to the fair values of the assets acquired and liabilities assumed at the date of acquisition:</w:t>
      </w:r>
    </w:p>
    <w:p>
      <w:pPr>
        <w:pStyle w:val="TextBody"/>
        <w:bidi w:val="0"/>
        <w:spacing w:lineRule="auto" w:line="273"/>
        <w:jc w:val="left"/>
      </w:pPr>
      <w:r>
        <w:t> </w:t>
      </w:r>
    </w:p>
    <w:tbl>
      <w:tblPr>
        <w:tblW w:w="5768" w:type="dxa"/>
        <w:jc w:val="left"/>
        <w:tblInd w:w="0" w:type="dxa"/>
        <w:tblLayout w:type="fixed"/>
        <w:tblCellMar>
          <w:top w:w="28" w:type="dxa"/>
          <w:left w:w="28" w:type="dxa"/>
          <w:bottom w:w="28" w:type="dxa"/>
          <w:right w:w="28" w:type="dxa"/>
        </w:tblCellMar>
      </w:tblPr>
      <w:tblGrid>
        <w:gridCol w:w="4006"/>
        <w:gridCol w:w="146"/>
        <w:gridCol w:w="303"/>
        <w:gridCol w:w="1122"/>
        <w:gridCol w:w="191"/>
      </w:tblGrid>
      <w:t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67,683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113,149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Receivables (premiums and investment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14,520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Reinsurance recoverable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66,500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VOBA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26,532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295,386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11,088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Reserve for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22,178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33,730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2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18,655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208,906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105,097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Intangible assets were comprised of the following: </w:t>
      </w:r>
    </w:p>
    <w:p>
      <w:pPr>
        <w:pStyle w:val="TextBody"/>
        <w:bidi w:val="0"/>
        <w:spacing w:lineRule="auto" w:line="273"/>
        <w:jc w:val="left"/>
      </w:pPr>
      <w:r>
        <w:t> </w:t>
      </w:r>
    </w:p>
    <w:tbl>
      <w:tblPr>
        <w:tblW w:w="9779" w:type="dxa"/>
        <w:jc w:val="left"/>
        <w:tblInd w:w="0" w:type="dxa"/>
        <w:tblLayout w:type="fixed"/>
        <w:tblCellMar>
          <w:top w:w="28" w:type="dxa"/>
          <w:left w:w="28" w:type="dxa"/>
          <w:bottom w:w="28" w:type="dxa"/>
          <w:right w:w="28" w:type="dxa"/>
        </w:tblCellMar>
      </w:tblPr>
      <w:tblGrid>
        <w:gridCol w:w="2176"/>
        <w:gridCol w:w="146"/>
        <w:gridCol w:w="339"/>
        <w:gridCol w:w="1086"/>
        <w:gridCol w:w="146"/>
        <w:gridCol w:w="146"/>
        <w:gridCol w:w="1021"/>
        <w:gridCol w:w="146"/>
        <w:gridCol w:w="1261"/>
        <w:gridCol w:w="146"/>
        <w:gridCol w:w="3166"/>
      </w:tblGrid>
      <w:t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3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Valuation Approach</w:t>
            </w:r>
          </w:p>
        </w:tc>
      </w:tr>
      <w:t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8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6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Multi-period excess earnings method</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Non-compete agreements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Straight-line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With-and-without method</w:t>
            </w:r>
          </w:p>
        </w:tc>
      </w:tr>
      <w:t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State licenses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26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Not amortized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Multi-period excess earnings method</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table above excludes VOBA, which is presented separately in the purchase price allocation due to its insurance-specific nature and amortization pattern. In connection with the acquisition, the Company recognized VOBA in accordance with ASC 944-805-30-1. Upon acquisition, the Company acquired the contractual insurance and reinsurance assets of Gray Surety, including existing deferred acquisition costs. These deferred acquisition costs were derecognized, as they represent historical costs of the acquiree, and the Company recognized the fair value of the in-force insurance contracts, including a VOBA component representing the present value of future underwriting profits. This component was determined using an income approach based on expected future cash flows discounted at a weighted-average cost of capital.</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Company recognized total VOBA of approximately $26.5 million, which is recorded within intangible assets and represents the present value of future underwriting profits associated with the acquired in-force policies.</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VOBA is amortized over the expected remaining lives of the underlying policies in proportion to the estimated earning pattern of the related unearned premiums as of the acquisition date. VOBA balances are subject to recoverability testing. No impairment was identified as of September 30, 2026.</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Goodwill of $105.1 million represents the excess of consideration transferred over the fair value of the net identifiable assets acquired. Goodwill reflects the expected synergies from combining Gray Surety’s surety and bond platform with the Company’s specialty insurance operations, including expanded distribution relationships, cross-selling opportunities, and operational efficiencies. Goodwill is not deductible for income tax purposes.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following unaudited pro forma financial information presents the combined results of operations of the Company and Gray Surety as if the acquisition had occurred on January 1, 2025. The unaudited pro forma financial information is presented for informational purposes only and is not necessarily indicative of the results that would have occurred had the acquisition been completed on January 1, 2025, nor does it purport to project the future results of operations of the combined company. Significant pro forma adjustments include amortization of VOBA, acquisition-related financing costs, transactions costs, and related income tax effects. The pro forma results reflect the revised provisional purchase-price allocation and related amortization as of September 30,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2026.</w:t>
      </w:r>
    </w:p>
    <w:p>
      <w:pPr>
        <w:pStyle w:val="TextBody"/>
        <w:bidi w:val="0"/>
        <w:spacing w:lineRule="auto" w:line="273"/>
        <w:jc w:val="left"/>
      </w:pPr>
      <w:r>
        <w:t> </w:t>
      </w:r>
    </w:p>
    <w:tbl>
      <w:tblPr>
        <w:tblW w:w="7243" w:type="dxa"/>
        <w:jc w:val="left"/>
        <w:tblInd w:w="0" w:type="dxa"/>
        <w:tblLayout w:type="fixed"/>
        <w:tblCellMar>
          <w:top w:w="28" w:type="dxa"/>
          <w:left w:w="28" w:type="dxa"/>
          <w:bottom w:w="28" w:type="dxa"/>
          <w:right w:w="28" w:type="dxa"/>
        </w:tblCellMar>
      </w:tblPr>
      <w:tblGrid>
        <w:gridCol w:w="1846"/>
        <w:gridCol w:w="146"/>
        <w:gridCol w:w="221"/>
        <w:gridCol w:w="818"/>
        <w:gridCol w:w="153"/>
        <w:gridCol w:w="153"/>
        <w:gridCol w:w="221"/>
        <w:gridCol w:w="818"/>
        <w:gridCol w:w="146"/>
        <w:gridCol w:w="146"/>
        <w:gridCol w:w="221"/>
        <w:gridCol w:w="818"/>
        <w:gridCol w:w="153"/>
        <w:gridCol w:w="153"/>
        <w:gridCol w:w="221"/>
        <w:gridCol w:w="818"/>
        <w:gridCol w:w="191"/>
      </w:tblGrid>
      <w:t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(Unaudited, $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38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(Unaudited, $ in thousands)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8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 forma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386,590</w:t>
            </w:r>
          </w:p>
        </w:tc>
        <w:tc>
          <w:tcPr>
            <w:tcW w:w="15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267,976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986,835</w:t>
            </w:r>
          </w:p>
        </w:tc>
        <w:tc>
          <w:tcPr>
            <w:tcW w:w="15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685,165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18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 forma 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65,342</w:t>
            </w:r>
          </w:p>
        </w:tc>
        <w:tc>
          <w:tcPr>
            <w:tcW w:w="15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166,487</w:t>
            </w:r>
          </w:p>
        </w:tc>
        <w:tc>
          <w:tcPr>
            <w:tcW w:w="15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130,505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On October 29, 2026, the Company’s Board of Directors declared a cash dividend of $0.45 per share of common stock, payable on December 2, 2026 to stockholders of record as of November 17, 2026.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Dividend equivalents of $0.45 per unit were also accrued for holders of unvested PSUs and RSUs as of the same record date. Dividend equivalents accrued on PSUs and RSUs will be paid upon the awards vesting and forfeited if the underlying awards do not vest.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Based on the number of shares of common stock outstanding and the number of unvested PSUs and RSUs as of September 30, 2026, the Company estimates the aggregate dividend payment will be approximately $12.2 million, although the actual aggregate amount will depend on the number of shares of common stock outstanding as of the record date.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This dividend was not recognized in the Company’s condensed consolidated financial statements as of September 30, 2026, because the obligation to pay the dividend did not exist as of the balance sheet date.</w:t>
      </w:r>
    </w:p>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sz w:val="20"/>
        </w:rPr>
      </w:pPr>
      <w:bookmarkStart w:id="10" w:name="mda"/>
      <w:bookmarkEnd w:id="10"/>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Management</w:t>
      </w:r>
      <w:r>
        <w:rPr>
          <w:rFonts w:ascii="Times New Roman" w:hAnsi="Times New Roman"/>
          <w:color w:val="000000"/>
          <w:sz w:val="20"/>
        </w:rPr>
        <w:t>’</w:t>
      </w:r>
      <w:r>
        <w:rPr>
          <w:rFonts w:ascii="Times New Roman" w:hAnsi="Times New Roman"/>
          <w:b/>
          <w:color w:val="000000"/>
          <w:sz w:val="20"/>
        </w:rPr>
        <w:t>s Discussion and Analysis of Financial Condition and Results of Operations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Forward-looking statements within the meaning of Section 27A of the Securities Act of 1933 and Section 21E of the Securities Exchange Act of 1934 appear throughout this report. These forward-looking statements generally include words such as “expect,” “predict,” “estimate,” “will,” “should,” “anticipate,” “believe” and similar expressions. Forward-looking statements are based on assumptions that are, in turn, based on information available and internal estimates and analyses of general economic conditions, competitive factors, conditions specific to the property and casualty insurance and reinsurance industries, claims development and the impact thereof on our loss reserves, the adequacy and financial security of our reinsurance programs, developments in the securities market and the impact on our investment portfolio, regulatory changes and conditions and other factors. These assumptions are subject to various risks, uncertainties and other factors, including, without limitation those set forth in “Item 1A. Risk Factors” within the Annual Report on Form 10-K for the year ended December 31, 2025 and Part II, Item 1A. “Risk Factors” of this Quarterly report on Form 10-Q. Actual results could differ materially from those expressed in, or implied by, these forward-looking statements. Forward-looking statements reflect the Company’s expectations, plans or forecasts of future events and views as of the date of this report. While the Company may elect to update these forward-looking statements at some point in the future, the Company specifically disclaims any obligation to do so. You should review the various risks, uncertainties and other factors listed from time to time in our Securities and Exchange Commission filings.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The results of operations for the nine months ended September 30, 2026 are not necessarily indicative of the results that may be expected for the full year ended December 31, 2026,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24, 2026.</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References to the “Company,” “Palomar,” “we,” “us,” and “our” are to Palomar Holdings,</w:t>
      </w:r>
      <w:r>
        <w:rPr>
          <w:rFonts w:ascii="Times New Roman" w:hAnsi="Times New Roman"/>
          <w:color w:val="000000"/>
          <w:sz w:val="20"/>
        </w:rPr>
        <w:t xml:space="preserve"> </w:t>
      </w:r>
      <w:r>
        <w:rPr>
          <w:rFonts w:ascii="Times New Roman" w:hAnsi="Times New Roman"/>
          <w:i/>
          <w:color w:val="000000"/>
          <w:sz w:val="20"/>
        </w:rPr>
        <w:t>Inc. and its subsidiaries, unless the context otherwise requires.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a specialty insurance company that provides property and casualty insurance products to individuals and businesses. We use our underwriting and analytical expertise to provide innovative solutions in five product categories: Earthquake, Inland Marine and Property, Casualty, Crop, and Surety &amp; Credit. We use proprietary data analytics and a modern technology platform to offer our customers flexible products with customized and granular pricing for both the admitted and excess and surplus lines (“E&amp;S”) markets. Our insurance company subsidiaries, Palomar Specialty Insurance Company (“PSIC”), Palomar Excess and Surplus Insurance Company (“PESIC”), First Indemnity of America Insurance Co. (“FIA”), and Palomar Specialty Reinsurance Company Bermuda Ltd. (“PSRE”) carry an “A” (Excellent) rating from A.M. Best Company (“A.M. Best”), a leading rating agency for the insurance industry. Palomar Casualty and Surety Company (“PCSC”) carries an “A-” (Excellent) rating from A.M. Best.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Founded in 2014, we have significantly grown our business and have generated attractive returns. We have increased gross written premiums from $16.6 million in our first year of operations to $2.0 billion for the year ended December 31, 2025, which reflects a compound annual growth rate of approximately 55%. We have also been profitable since 2016 and our net income growth since 2016 reflects a compound annual growth rate of 46%.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seek to continuously grow our income by developing product offerings for lines of business that harness our core competencies and where we believe we can generate attractive risk adjusted returns. In recent years, we have introduced several new products including Crop, E&amp;S Casualty, Surety and Environmental Liability. These new products diversify our book of business and broaden our product portfolio. We believe that our market opportunity, distinctive products, and differentiated business model position us to grow our business profitably.</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Volume of new business submissions in existing products or partnerships;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Binding of new business submissions in existing products or partnerships into policies;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Entrance into new partnerships or the offering of new types of insurance products;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Exits from existing partnerships or reducing or ceasing to offer existing insurance products;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Renewal rates of existing policies;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Average size and premium rate of bound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 The majority of our Crop written premiums are recognized in the third quarter, as we receive the requisite reporting from insureds at that time. This pattern reflects the seasonal nature of the Crop business, which typically results in a disproportionate amount of Crop premiums being recognized in the third quarter. As such, our interim results may not be indicative of full-year performance.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Ceded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XOL reinsurance due to losses.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Earned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 Crop premiums are earned ratably over the risk period. The requisite reporting of Crop premiums is primarily received in the third quarter, after the start of the risk period, and earned premium is caught up to cover the period between the start of the risk period and receipt of reporting. Generally, this process results in a significant amount of the Crop earned premiums being recognized in the third quarter of each year.</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Commission and Other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Losses and Loss Adjustment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or casualty claims. In addition, many of the policies we write subject us to catastrophe losses. Catastrophe losses are certain losses resulting from events involving multiple claims and policyholders, including earthquakes, hurricanes, floods, droughts, convective storms, terrorist acts or other aggregating events. Our losses and loss adjustment expenses are generally affected by: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occurrence, frequency, and severity of catastrophe events in the areas where we underwrite policies relating to these perils;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occurrence, frequency, and severity of non</w:t>
        <w:noBreakHyphen/>
        <w:t>catastrophe attritional losses;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mix of business written by us;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reinsurance agreements we have in place at the time of a loss;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geographic location and characteristics of the policies we underwrite;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Changes in the legal or regulatory environment related to the business we write;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Trends in legal defense costs;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Inflation in housing and construction costs;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Increases in amounts awarded by courts and juries.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Acquisition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noBreakHyphen/>
        <w:t>related taxes and other fees. Acquisition expenses related to each policy we write are deferred and expensed pro rata over the term of the policy.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Other Underwriting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Interest expense consists of interest incurred on borrowings under our credit agreements, including the Term Loan and Revolving Facility under our 2026 Credit Agreement, and our FHLB line of credit, as well as the unused line fees and amortization of the debt issuance costs.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Investment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cash and cash equivalents, and other investments.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Realized and Unrealized Gains and Losses on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available-for-sale fixed maturity securities are recognized as a component of other comprehensive income and do not impact our net income.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Currently our income tax expense consists mainly of federal income taxes imposed on our operations. Our effective tax rates are dependent upon the components of pretax earnings and the related tax effects.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Key Financial and Operating Metrics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discuss certain key financial and operating metrics, described below, which provide useful information about our business and the operational factors underlying our financial performance.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Underwriting revenue</w:t>
      </w:r>
      <w:r>
        <w:rPr>
          <w:rFonts w:ascii="Times New Roman" w:hAnsi="Times New Roman"/>
          <w:color w:val="000000"/>
          <w:sz w:val="20"/>
        </w:rPr>
        <w:t xml:space="preserve"> is a non</w:t>
        <w:noBreakHyphen/>
        <w:t>GAAP financial measure defined as total revenue, excluding net investment income and net realized and unrealized gains and losses on investments. See “Reconciliation of Non</w:t>
        <w:noBreakHyphen/>
        <w:t>GAAP Financial Measures” for a reconciliation of total revenue calculated in accordance with GAAP to underwriting revenue.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Underwriting income</w:t>
      </w:r>
      <w:r>
        <w:rPr>
          <w:rFonts w:ascii="Times New Roman" w:hAnsi="Times New Roman"/>
          <w:color w:val="000000"/>
          <w:sz w:val="20"/>
        </w:rPr>
        <w:t xml:space="preserve"> is a non</w:t>
        <w:noBreakHyphen/>
        <w:t>GAAP financial measure defined as income before income taxes excluding net investment income, net realized and unrealized gains and losses on investments, and interest expense. See “Reconciliation of Non</w:t>
        <w:noBreakHyphen/>
        <w:t>GAAP Financial Measures” for a reconciliation of income before income taxes calculated in accordance with GAAP to underwriting income.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 xml:space="preserve">Adjusted net income </w:t>
      </w:r>
      <w:r>
        <w:rPr>
          <w:rFonts w:ascii="Times New Roman" w:hAnsi="Times New Roman"/>
          <w:color w:val="000000"/>
          <w:sz w:val="20"/>
        </w:rPr>
        <w:t>is a non</w:t>
        <w:noBreakHyphen/>
        <w:t>GAAP financial measure defined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we received a deduction for these adjustments. See “Reconciliation of Non</w:t>
        <w:noBreakHyphen/>
        <w:t>GAAP Financial Measures” for a reconciliation of net income calculated in accordance with GAAP to adjusted net income.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Annualized return on equity</w:t>
      </w:r>
      <w:r>
        <w:rPr>
          <w:rFonts w:ascii="Times New Roman" w:hAnsi="Times New Roman"/>
          <w:color w:val="000000"/>
          <w:sz w:val="20"/>
        </w:rPr>
        <w:t xml:space="preserve"> is net income expressed on an annualized basis as a percentage of average beginning and ending stockholders’ equity during the period.</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Annualized adjusted return on equity</w:t>
      </w:r>
      <w:r>
        <w:rPr>
          <w:rFonts w:ascii="Times New Roman" w:hAnsi="Times New Roman"/>
          <w:color w:val="000000"/>
          <w:sz w:val="20"/>
        </w:rPr>
        <w:t xml:space="preserve"> is a non</w:t>
        <w:noBreakHyphen/>
        <w:t>GAAP financial measure defined as adjusted net income expressed on an annualized basis as a percentage of average beginning and ending stockholders’ equity during the period. See “Reconciliation of Non</w:t>
        <w:noBreakHyphen/>
        <w:t>GAAP Financial Measures” for a reconciliation of return on equity calculated using unadjusted GAAP numbers to adjusted return on equity.</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Loss ratio</w:t>
      </w:r>
      <w:r>
        <w:rPr>
          <w:rFonts w:ascii="Times New Roman" w:hAnsi="Times New Roman"/>
          <w:color w:val="000000"/>
          <w:sz w:val="20"/>
        </w:rPr>
        <w:t>, expressed as a percentage, is the ratio of losses and loss adjustment expenses, to net earned premiums.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Expense ratio,</w:t>
      </w:r>
      <w:r>
        <w:rPr>
          <w:rFonts w:ascii="Times New Roman" w:hAnsi="Times New Roman"/>
          <w:color w:val="000000"/>
          <w:sz w:val="20"/>
        </w:rPr>
        <w:t xml:space="preserve"> expressed as a percentage, is the ratio of acquisition and other underwriting expenses, net of commission and other income to net earned premiums.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Combined ratio</w:t>
      </w:r>
      <w:r>
        <w:rPr>
          <w:rFonts w:ascii="Times New Roman" w:hAnsi="Times New Roman"/>
          <w:color w:val="000000"/>
          <w:sz w:val="20"/>
        </w:rPr>
        <w:t xml:space="preserve"> is defined as the sum of the loss ratio and the expense ratio. A combined ratio under 100% generally indicates an underwriting profit. A combined ratio over 100% generally indicates an underwriting loss.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Adjusted combined ratio</w:t>
      </w:r>
      <w:r>
        <w:rPr>
          <w:rFonts w:ascii="Times New Roman" w:hAnsi="Times New Roman"/>
          <w:color w:val="000000"/>
          <w:sz w:val="20"/>
        </w:rPr>
        <w:t xml:space="preserve"> is a non</w:t>
        <w:noBreakHyphen/>
        <w:t>GAAP financial measure defined as the sum of the loss ratio and the expense ratio calculated excluding the impact of certain items that may not be indicative of underlying business trends, operating results, or future outlook. See “Reconciliation of Non</w:t>
        <w:noBreakHyphen/>
        <w:t>GAAP Financial Measures” for a reconciliation of combined ratio calculated using unadjusted GAAP numbers to adjusted combined ratio.</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Diluted adjusted earnings per share</w:t>
      </w:r>
      <w:r>
        <w:rPr>
          <w:rFonts w:ascii="Times New Roman" w:hAnsi="Times New Roman"/>
          <w:color w:val="000000"/>
          <w:sz w:val="20"/>
        </w:rPr>
        <w:t xml:space="preserve"> is a non</w:t>
        <w:noBreakHyphen/>
        <w:t>GAAP financial measure defined as adjusted net income divided by the weighted-average common shares outstanding for the period, reflecting the dilution which could occur if equity-based awards are converted into common share equivalents as calculated using the treasury stock method. See “Reconciliation of Non</w:t>
        <w:noBreakHyphen/>
        <w:t>GAAP Financial Measures” for a reconciliation of diluted earnings per share calculated in accordance with GAAP to diluted adjusted earnings per share.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Catastrophe loss ratio</w:t>
      </w:r>
      <w:r>
        <w:rPr>
          <w:rFonts w:ascii="Times New Roman" w:hAnsi="Times New Roman"/>
          <w:color w:val="000000"/>
          <w:sz w:val="20"/>
        </w:rPr>
        <w:t xml:space="preserve"> is a non</w:t>
        <w:noBreakHyphen/>
        <w:t>GAAP financial measure defined as the ratio of catastrophe losses to net earned premiums. See “Reconciliation of Non</w:t>
        <w:noBreakHyphen/>
        <w:t>GAAP Financial Measures” for a reconciliation of loss ratio calculated using unadjusted GAAP numbers to catastrophe loss ratio.</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Adjusted combined ratio excluding catastrophe losses</w:t>
      </w:r>
      <w:r>
        <w:rPr>
          <w:rFonts w:ascii="Times New Roman" w:hAnsi="Times New Roman"/>
          <w:color w:val="000000"/>
          <w:sz w:val="20"/>
        </w:rPr>
        <w:t xml:space="preserve"> is a non</w:t>
        <w:noBreakHyphen/>
        <w:t>GAAP financial measure defined as adjusted combined ratio excluding the impact of catastrophe losses. See “Reconciliation of Non</w:t>
        <w:noBreakHyphen/>
        <w:t>GAAP Financial Measures” for a reconciliation of combined ratio calculated using unadjusted GAAP numbers to adjusted combined ratio excluding catastrophe losses.</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Adjusted underwriting income</w:t>
      </w:r>
      <w:r>
        <w:rPr>
          <w:rFonts w:ascii="Times New Roman" w:hAnsi="Times New Roman"/>
          <w:color w:val="000000"/>
          <w:sz w:val="20"/>
        </w:rPr>
        <w:t xml:space="preserve"> is a non-GAAP financial measure defined as underwriting income excluding the 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pStyle w:val="TextBody"/>
        <w:bidi w:val="0"/>
        <w:spacing w:lineRule="auto" w:line="273" w:before="200" w:after="283"/>
        <w:jc w:val="left"/>
        <w:rPr>
          <w:rFonts w:ascii="Times New Roman" w:hAnsi="Times New Roman"/>
          <w:sz w:val="20"/>
        </w:rPr>
      </w:pPr>
      <w:r>
        <w:rPr>
          <w:rFonts w:ascii="Times New Roman" w:hAnsi="Times New Roman"/>
          <w:i/>
          <w:color w:val="000000"/>
          <w:sz w:val="20"/>
        </w:rPr>
        <w:t>Tangible stockholders</w:t>
      </w:r>
      <w:r>
        <w:rPr>
          <w:rFonts w:ascii="Times New Roman" w:hAnsi="Times New Roman"/>
          <w:color w:val="000000"/>
          <w:sz w:val="20"/>
        </w:rPr>
        <w:t xml:space="preserve">’ </w:t>
      </w:r>
      <w:r>
        <w:rPr>
          <w:rFonts w:ascii="Times New Roman" w:hAnsi="Times New Roman"/>
          <w:i/>
          <w:color w:val="000000"/>
          <w:sz w:val="20"/>
        </w:rPr>
        <w:t>equity</w:t>
      </w:r>
      <w:r>
        <w:rPr>
          <w:rFonts w:ascii="Times New Roman" w:hAnsi="Times New Roman"/>
          <w:color w:val="000000"/>
          <w:sz w:val="20"/>
        </w:rPr>
        <w:t xml:space="preserve"> is a non</w:t>
        <w:noBreakHyphen/>
        <w:t>GAAP financial measure defined as stockholders’ equity less goodwill and intangible assets. See “Reconciliation of Non</w:t>
        <w:noBreakHyphen/>
        <w:t>GAAP Financial Measures” for a reconciliation of stockholders’ equity calculated in accordance with GAAP to tangible stockholders’ equity.</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Three</w:t>
      </w:r>
      <w:r>
        <w:rPr>
          <w:rFonts w:ascii="Times New Roman" w:hAnsi="Times New Roman"/>
          <w:color w:val="000000"/>
          <w:sz w:val="20"/>
        </w:rPr>
        <w:t xml:space="preserve"> </w:t>
      </w:r>
      <w:r>
        <w:rPr>
          <w:rFonts w:ascii="Times New Roman" w:hAnsi="Times New Roman"/>
          <w:b/>
          <w:i/>
          <w:color w:val="000000"/>
          <w:sz w:val="20"/>
        </w:rPr>
        <w:t>months ended September 30, 2026 compared to three</w:t>
      </w:r>
      <w:r>
        <w:rPr>
          <w:rFonts w:ascii="Times New Roman" w:hAnsi="Times New Roman"/>
          <w:color w:val="000000"/>
          <w:sz w:val="20"/>
        </w:rPr>
        <w:t xml:space="preserve"> </w:t>
      </w:r>
      <w:r>
        <w:rPr>
          <w:rFonts w:ascii="Times New Roman" w:hAnsi="Times New Roman"/>
          <w:b/>
          <w:i/>
          <w:color w:val="000000"/>
          <w:sz w:val="20"/>
        </w:rPr>
        <w:t>months ended September 30,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results for the three months ended September 30, 2026 and 2025:</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4268"/>
        <w:gridCol w:w="146"/>
        <w:gridCol w:w="211"/>
        <w:gridCol w:w="841"/>
        <w:gridCol w:w="271"/>
        <w:gridCol w:w="146"/>
        <w:gridCol w:w="211"/>
        <w:gridCol w:w="841"/>
        <w:gridCol w:w="271"/>
        <w:gridCol w:w="146"/>
        <w:gridCol w:w="211"/>
        <w:gridCol w:w="781"/>
        <w:gridCol w:w="166"/>
        <w:gridCol w:w="146"/>
        <w:gridCol w:w="186"/>
        <w:gridCol w:w="805"/>
        <w:gridCol w:w="558"/>
      </w:tblGrid>
      <w:tr>
        <w:tc>
          <w:tcPr>
            <w:tcW w:w="4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3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767,046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597,171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169,875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(378,477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(321,927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388,569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275,244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113,325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365,391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225,147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140,244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62.3</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1,485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Total underwriting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366,876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226,595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140,281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61.9</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151,646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72,812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108.3</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72,352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56,270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72,722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48,306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50.5</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70,156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49,207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20,949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(5,138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22,406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14,572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53.8</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(losses)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(177.1</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84,732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67,139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65,335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51,455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27.0</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losses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6,185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(177.1</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30.5</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6,161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b/>
                <w:color w:val="000000"/>
                <w:sz w:val="20"/>
              </w:rPr>
              <w:t xml:space="preserve">Adjusted net income </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81,311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55,164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47.4</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Key Financial and Operating Metrics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Annualized return on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Annualized adjusted return on equity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combined ratio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Diluted adjusted earnings per share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Catastrophe loss ratio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combined ratio excluding catastrophe losses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26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86,472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56,660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29,812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w:t>
            </w:r>
          </w:p>
        </w:tc>
        <w:tc>
          <w:tcPr>
            <w:tcW w:w="55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8"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bl>
    <w:p>
      <w:pPr>
        <w:pStyle w:val="TextBody"/>
        <w:pBdr>
          <w:bottom w:val="single" w:sz="6" w:space="1" w:color="000000"/>
        </w:pBdr>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Indicates non-GAAP financial measure; see “Reconciliation of Non-GAAP Financial Measures” for a reconciliation of the non-GAAP financial measures to their most directly comparable financial measures prepared in accordance with GAAP.</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Gross written premiums increased $169.9 million, or 28.4%, to $767.0 million for the three months ended September 30, 2026 compared to $597.2 million for the three months ended September 30, 2025. Premium growth was primarily due to an increased volume of policies in the majority of our lines of business, particularly in our Crop and Surety &amp; Credit lines, which was driven by new business generated with existing partners, strong premium retention rates for existing business, expansion of our distribution footprint, and new partnerships. Gross written premiums for the three months ended September 30, 2026 also include $26.7 million written by PCSC, which we acquired on January 31, 2026. The following table summarizes our gross written premiums by line of business and shows each line’s percentage of total gross written premiums for each period:</w:t>
      </w:r>
    </w:p>
    <w:p>
      <w:pPr>
        <w:pStyle w:val="TextBody"/>
        <w:bidi w:val="0"/>
        <w:spacing w:lineRule="auto" w:line="273"/>
        <w:jc w:val="left"/>
      </w:pPr>
      <w:r>
        <w:t> </w:t>
      </w:r>
    </w:p>
    <w:tbl>
      <w:tblPr>
        <w:tblW w:w="10009" w:type="dxa"/>
        <w:jc w:val="left"/>
        <w:tblInd w:w="0" w:type="dxa"/>
        <w:tblLayout w:type="fixed"/>
        <w:tblCellMar>
          <w:top w:w="28" w:type="dxa"/>
          <w:left w:w="28" w:type="dxa"/>
          <w:bottom w:w="28" w:type="dxa"/>
          <w:right w:w="28" w:type="dxa"/>
        </w:tblCellMar>
      </w:tblPr>
      <w:tblGrid>
        <w:gridCol w:w="2576"/>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781"/>
        <w:gridCol w:w="146"/>
        <w:gridCol w:w="146"/>
        <w:gridCol w:w="152"/>
        <w:gridCol w:w="599"/>
        <w:gridCol w:w="416"/>
      </w:tblGrid>
      <w:t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2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5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Product</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Crop</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226,668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119,757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106,911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89.3</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Casualty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176,784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170,994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5,790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Inland Marine and Property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160,706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141,739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18,967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154,478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149,940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4,538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Surety &amp;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228.4</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597,171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Beginning in 2026, we updated the categorization of our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gross written premiums by insurance subsidiary:</w:t>
      </w:r>
    </w:p>
    <w:p>
      <w:pPr>
        <w:pStyle w:val="TextBody"/>
        <w:bidi w:val="0"/>
        <w:spacing w:lineRule="auto" w:line="273"/>
        <w:jc w:val="left"/>
      </w:pPr>
      <w:r>
        <w:t> </w:t>
      </w:r>
    </w:p>
    <w:tbl>
      <w:tblPr>
        <w:tblW w:w="10089" w:type="dxa"/>
        <w:jc w:val="left"/>
        <w:tblInd w:w="0" w:type="dxa"/>
        <w:tblLayout w:type="fixed"/>
        <w:tblCellMar>
          <w:top w:w="28" w:type="dxa"/>
          <w:left w:w="28" w:type="dxa"/>
          <w:bottom w:w="28" w:type="dxa"/>
          <w:right w:w="28" w:type="dxa"/>
        </w:tblCellMar>
      </w:tblPr>
      <w:tblGrid>
        <w:gridCol w:w="2576"/>
        <w:gridCol w:w="146"/>
        <w:gridCol w:w="211"/>
        <w:gridCol w:w="781"/>
        <w:gridCol w:w="146"/>
        <w:gridCol w:w="146"/>
        <w:gridCol w:w="146"/>
        <w:gridCol w:w="571"/>
        <w:gridCol w:w="271"/>
        <w:gridCol w:w="146"/>
        <w:gridCol w:w="211"/>
        <w:gridCol w:w="781"/>
        <w:gridCol w:w="146"/>
        <w:gridCol w:w="146"/>
        <w:gridCol w:w="146"/>
        <w:gridCol w:w="571"/>
        <w:gridCol w:w="271"/>
        <w:gridCol w:w="146"/>
        <w:gridCol w:w="211"/>
        <w:gridCol w:w="781"/>
        <w:gridCol w:w="166"/>
        <w:gridCol w:w="146"/>
        <w:gridCol w:w="163"/>
        <w:gridCol w:w="588"/>
        <w:gridCol w:w="476"/>
      </w:tblGrid>
      <w:t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2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pPr>
            <w:r>
              <w:t> </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437,645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317,177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120,468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38.0</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PESIC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271,797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252,318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19,479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Laulima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28,003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5,199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PCSC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26,706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FIA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w:t>
            </w:r>
          </w:p>
        </w:tc>
        <w:tc>
          <w:tcPr>
            <w:tcW w:w="4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5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597,171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169,875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28.4</w:t>
            </w:r>
          </w:p>
        </w:tc>
        <w:tc>
          <w:tcPr>
            <w:tcW w:w="4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Ceded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Ceded written premiums increased $56.6 million, or 17.6%, to $378.5 million for the three months ended September 30, 2026 from $321.9 million for the three months ended September 30, 2025. The increase in ceded written premium was primarily driven by growth in written premiums subject to quota share arrangements, such as those in Crop and Inland Marine and Property lines.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Although our volume of ceded written premiums increased, ceded written premiums as a percentage of gross written premiums decreased to 49.3% for the three months ended September 30, 2026 from 53.9% for the three months ended September 30, 2025. This percentage decrease was driven by changes in our composition of business whereby premiums written in the current period were subject to lower quota share or XOL cession percentages compared to premiums written in the prior period.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written premiums increased $113.3 million, or 41.2%, to $388.6 million for the three months ended September 30, 2026 from $275.2 million for the three months ended September 30, 2025. The increase was primarily due to an increase in gross written premiums, primarily in our Crop and Surety &amp; Credit lines, partially offset by increased ceded written premiums.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Earned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earned premiums increased $140.2 million, or 62.3%, to $365.4 million for the three months ended September 30, 2026 from $225.1 million for the three months ended September 30, 2025 due primarily to the earning of increased gross written premiums partially offset by the earning of ceded written premiums under reinsurance agreements. The following table shows the amount of premiums we earned on a gross and net basis and net earned premiums as a percentage of gross earned premiums in each period presented:</w:t>
      </w:r>
    </w:p>
    <w:p>
      <w:pPr>
        <w:pStyle w:val="TextBody"/>
        <w:bidi w:val="0"/>
        <w:spacing w:lineRule="auto" w:line="273"/>
        <w:jc w:val="left"/>
      </w:pPr>
      <w:r>
        <w:t> </w:t>
      </w:r>
    </w:p>
    <w:tbl>
      <w:tblPr>
        <w:tblW w:w="7871" w:type="dxa"/>
        <w:jc w:val="left"/>
        <w:tblInd w:w="0" w:type="dxa"/>
        <w:tblLayout w:type="fixed"/>
        <w:tblCellMar>
          <w:top w:w="28" w:type="dxa"/>
          <w:left w:w="28" w:type="dxa"/>
          <w:bottom w:w="28" w:type="dxa"/>
          <w:right w:w="28" w:type="dxa"/>
        </w:tblCellMar>
      </w:tblPr>
      <w:tblGrid>
        <w:gridCol w:w="2176"/>
        <w:gridCol w:w="146"/>
        <w:gridCol w:w="211"/>
        <w:gridCol w:w="841"/>
        <w:gridCol w:w="271"/>
        <w:gridCol w:w="146"/>
        <w:gridCol w:w="211"/>
        <w:gridCol w:w="841"/>
        <w:gridCol w:w="271"/>
        <w:gridCol w:w="146"/>
        <w:gridCol w:w="211"/>
        <w:gridCol w:w="781"/>
        <w:gridCol w:w="166"/>
        <w:gridCol w:w="146"/>
        <w:gridCol w:w="236"/>
        <w:gridCol w:w="755"/>
        <w:gridCol w:w="316"/>
      </w:tblGrid>
      <w:t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23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736,144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518,783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217,361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(370,753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(293,636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365,391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225,147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bl>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net earned premium ratio increased as premiums earned in the current period were subject to lower quota share or XOL cession percentages compared to premiums earned in the prior period. This was primarily driven by our decision to retain a higher percentage of premiums on our Crop business in 2026 and lower XOL pricing versus the prior year.</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Commission and Other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Commission and other income was materially consistent for the three months ended September 30, 2026 as compared to the three months ended September 30, 2025.</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Losses and Loss Adjustment Expenses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increased $78.8 million, or 108.3%, to $151.6 million for the three months ended September 30, 2026 from $72.8 million for the three months ended September 30, 2025. Losses and loss adjustment expenses consisted of the following elements during the respective periods:</w:t>
      </w:r>
    </w:p>
    <w:p>
      <w:pPr>
        <w:pStyle w:val="TextBody"/>
        <w:bidi w:val="0"/>
        <w:spacing w:lineRule="auto" w:line="273"/>
        <w:jc w:val="left"/>
      </w:pPr>
      <w:r>
        <w:t> </w:t>
      </w:r>
    </w:p>
    <w:tbl>
      <w:tblPr>
        <w:tblW w:w="8856" w:type="dxa"/>
        <w:jc w:val="left"/>
        <w:tblInd w:w="0" w:type="dxa"/>
        <w:tblLayout w:type="fixed"/>
        <w:tblCellMar>
          <w:top w:w="28" w:type="dxa"/>
          <w:left w:w="28" w:type="dxa"/>
          <w:bottom w:w="28" w:type="dxa"/>
          <w:right w:w="28" w:type="dxa"/>
        </w:tblCellMar>
      </w:tblPr>
      <w:tblGrid>
        <w:gridCol w:w="3511"/>
        <w:gridCol w:w="146"/>
        <w:gridCol w:w="211"/>
        <w:gridCol w:w="781"/>
        <w:gridCol w:w="271"/>
        <w:gridCol w:w="146"/>
        <w:gridCol w:w="211"/>
        <w:gridCol w:w="676"/>
        <w:gridCol w:w="271"/>
        <w:gridCol w:w="146"/>
        <w:gridCol w:w="211"/>
        <w:gridCol w:w="676"/>
        <w:gridCol w:w="146"/>
        <w:gridCol w:w="146"/>
        <w:gridCol w:w="201"/>
        <w:gridCol w:w="790"/>
        <w:gridCol w:w="316"/>
      </w:tblGrid>
      <w:t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88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2,552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147,194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70,912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107.6</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151,646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72,812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activity for the quarter ended September 30, 2026 was primarily related to hurricane and flood events in Hawaii and flood events in the Midwest.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activity for the quarter ended September 30, 2025 was primarily related to flood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Non-catastrophe losses increased for the three months ended September 30, 2026 compared to the three months ended September 30, 2025 due mainly to higher attritional losses driven by premium growth on lines of business subject to attritional losses such as Crop, Surety &amp; Credit, and Inland Marine and Property and due to our decision to retain a higher percentage of premiums and losses on our Crop business in 2026.</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Acquisition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Acquisition expenses increased $16.1 million, or 28.6%, to $72.4 million for the three months ended September 30, 2026 from $56.3 million for the three months ended September 30, 2025. The increase was primarily due to higher commissions and premium-related taxes resulting from higher gross earned premiums. Acquisition expenses as a percentage of gross earned premiums were 9.8% for the three months ended September 30, 2026 compared to 10.8% for the three months ended September 30, 2025. Acquisition expenses as a percentage of gross earned premiums decreased due to changes in the composition of our business versus the prior year.</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Other Underwriting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increased $24.4 million, or 50.5%, to $72.7 million for the three months ended September 30, 2026 from $48.3 million for the three months ended September 30, 2025. The increase was primarily due to higher payroll, technology, and stock-based compensation expenses associated with general growth, including the acquisition of Gray Surety.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as a percentage of gross earned premiums were 9.9% for the three months ended September 30, 2026 compared to 9.3% for the three months ended September 30, 2025. Excluding the impact of expenses relating to transactions, stock-based compensation, amortization of intangibles, and expenses associated with catastrophe bonds, other underwriting expenses as a percentage of gross earned premiums were 7.7% for the three months ended September 30, 2026 compared to 7.9% for the three months ended September 30, 2025. Other underwriting expenses as a percentage of gross earned premiums fluctuates period over period based on timing of certain expenses relative to premium growth.</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Investment Income and Net Realized and Unrealized Gains (Losses) on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investment income increased $7.8 million, or 53.8%, to $22.4 million for the three months ended September 30, 2026 from $14.6 million for the three months ended September 30, 2025. The increase was primarily due to a higher average balance of investments during the three months ended September 30, 2026 due to the investing of cash generated from operations and higher yields on invested assets versus the prior year.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incurred $2.7 million of net realized and unrealized losses on investments for the three months ended September 30, 2026 compared to $3.5 million of net realized and unrealized gains for the three months ended September 30, 2025. In both periods, the balance was primarily driven by unrealized losses and gains, respectively, on our equity securities. Unrealized gains and losses on available-for-sale fixed maturity securities are recognized as a component of other comprehensive income and do not impact our net income. The following table summarizes the components of our investment income for each period presented:</w:t>
      </w:r>
    </w:p>
    <w:p>
      <w:pPr>
        <w:pStyle w:val="TextBody"/>
        <w:bidi w:val="0"/>
        <w:spacing w:lineRule="auto" w:line="273"/>
        <w:jc w:val="left"/>
      </w:pPr>
      <w:r>
        <w:t> </w:t>
      </w:r>
    </w:p>
    <w:tbl>
      <w:tblPr>
        <w:tblW w:w="9806" w:type="dxa"/>
        <w:jc w:val="left"/>
        <w:tblInd w:w="0" w:type="dxa"/>
        <w:tblLayout w:type="fixed"/>
        <w:tblCellMar>
          <w:top w:w="28" w:type="dxa"/>
          <w:left w:w="28" w:type="dxa"/>
          <w:bottom w:w="28" w:type="dxa"/>
          <w:right w:w="28" w:type="dxa"/>
        </w:tblCellMar>
      </w:tblPr>
      <w:tblGrid>
        <w:gridCol w:w="4741"/>
        <w:gridCol w:w="146"/>
        <w:gridCol w:w="211"/>
        <w:gridCol w:w="676"/>
        <w:gridCol w:w="166"/>
        <w:gridCol w:w="146"/>
        <w:gridCol w:w="211"/>
        <w:gridCol w:w="676"/>
        <w:gridCol w:w="166"/>
        <w:gridCol w:w="146"/>
        <w:gridCol w:w="211"/>
        <w:gridCol w:w="631"/>
        <w:gridCol w:w="166"/>
        <w:gridCol w:w="146"/>
        <w:gridCol w:w="186"/>
        <w:gridCol w:w="805"/>
        <w:gridCol w:w="376"/>
      </w:tblGrid>
      <w:t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54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47.0</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Dividend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 management fees and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93.4</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53.8</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(losses)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(177.1</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Interest expense increased $5.0 million to $5.1 million for the three months ended September 30, 2026 from $0.1 million for the three months ended September 30, 2025, primarily due to interest on the Term Loan entered into in January 2026 to fund the acquisition of Gray Surety and, to a lesser extent, borrowings under our FHLB line of credit.</w:t>
      </w:r>
    </w:p>
    <w:p>
      <w:pPr>
        <w:pStyle w:val="TextBody"/>
        <w:bidi w:val="0"/>
        <w:spacing w:lineRule="auto" w:line="273"/>
        <w:jc w:val="left"/>
      </w:pPr>
      <w: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Income tax expense increased $3.7 million to $19.4 million for the three months ended September 30, 2026 from $15.7 million for the three months ended September 30, 2025 due to higher pre-tax income for the period ended September 30, 2026. For the three months ended September 30, 2026 and 2025 our income tax rates of 22.9% and 23.4%, respectively, were higher than the statutory rate of 21% due primarily to non-deductible executive compensation expense.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Nine months ended September 30, 2026 compared to nine months ended September 30,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results for the nine months ended September 30, 2026 and 2025:</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4031"/>
        <w:gridCol w:w="146"/>
        <w:gridCol w:w="211"/>
        <w:gridCol w:w="931"/>
        <w:gridCol w:w="271"/>
        <w:gridCol w:w="146"/>
        <w:gridCol w:w="211"/>
        <w:gridCol w:w="931"/>
        <w:gridCol w:w="271"/>
        <w:gridCol w:w="146"/>
        <w:gridCol w:w="211"/>
        <w:gridCol w:w="841"/>
        <w:gridCol w:w="166"/>
        <w:gridCol w:w="146"/>
        <w:gridCol w:w="201"/>
        <w:gridCol w:w="790"/>
        <w:gridCol w:w="555"/>
      </w:tblGrid>
      <w:t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47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2,027,330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1,535,623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491,707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32.0</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written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(975,669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(819,171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19.1</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1,051,661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716,452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335,209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46.8</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913,781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569,175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344,606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60.5</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Total underwriting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917,445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573,129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344,316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60.1</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337,732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157,739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114.1</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Acquisition expenses, net of ceding commissions and fronting fees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213,923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154,266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59,657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underwriting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207,057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129,563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 xml:space="preserve">Underwriting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158,733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131,561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(13,243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(12,939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60,340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40,014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50.8</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9,461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207,997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180,732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27,265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160,874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140,905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(9,461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10,545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195.4</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23,246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15,471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50.3</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21,396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(12.4</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b/>
                <w:color w:val="000000"/>
                <w:sz w:val="20"/>
              </w:rPr>
              <w:t>Adjusted net income</w:t>
            </w:r>
            <w:r>
              <w:rPr>
                <w:rFonts w:ascii="Times New Roman" w:hAnsi="Times New Roman"/>
                <w:color w:val="000000"/>
                <w:sz w:val="20"/>
              </w:rPr>
              <w:t>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208,216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155,003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34.3</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Key Financial and Operating Metrics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Annualized return on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Annualized adjusted return on equity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combined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Diluted adjusted earnings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4,302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Catastrophe loss ratio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combined ratio excluding catastrophe losses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Adjusted underwriting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216,250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156,663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59,587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38.0</w:t>
            </w:r>
          </w:p>
        </w:tc>
        <w:tc>
          <w:tcPr>
            <w:tcW w:w="5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NM - not meaningful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pBdr>
          <w:bottom w:val="single" w:sz="6" w:space="1" w:color="000000"/>
        </w:pBdr>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Indicates non-GAAP financial measure; see “Reconciliation of Non-GAAP Financial Measures” for a reconciliation of the non-GAAP financial measures to their most directly comparable financial measures prepared in accordance with GAAP.</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Gross written premiums increased $491.7 million, or 32.0%, to $2.0 billion for the nine months ended September 30, 2026 compared to $1.5 billion for the nine months ended September 30, 2025. Premium growth was primarily due to an increased volume of policies in the majority of our lines of business, particularly in our Crop and Casualty lines, which was driven by new business generated with existing partners, strong premium retention rates for existing business, expansion of our distribution footprint, and new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partnerships. Gross written premiums for the nine months ended September 30, 2026 also include $60.7 million written by PCSC, which we acquired on January 31, 2026. The following table summarizes our gross written premiums by line of business and shows each line’s percentage of total gross written premiums for each period:</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781"/>
        <w:gridCol w:w="146"/>
        <w:gridCol w:w="146"/>
        <w:gridCol w:w="152"/>
        <w:gridCol w:w="599"/>
        <w:gridCol w:w="416"/>
      </w:tblGrid>
      <w:t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2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47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Product</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pPr>
            <w:r>
              <w:t> </w:t>
            </w:r>
          </w:p>
        </w:tc>
      </w:tr>
      <w:t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Casualty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580,576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448,484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132,092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47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Inland Marine and Property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496,998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408,105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88,893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21.8</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Earthquake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438,442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431,345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7,097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47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Crop</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391,810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207,440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184,370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88.9</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4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Surety &amp; Credit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196.9</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47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2,027,330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1,535,623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52"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9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32.0</w:t>
            </w:r>
          </w:p>
        </w:tc>
        <w:tc>
          <w:tcPr>
            <w:tcW w:w="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Beginning in 2026, we updated the categorization of our products to align with management’s current strategy and view of the business. Prior year amounts have been reclassified for comparability purposes. The recategorization is for presentation purposes only and does not impact overall gross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gross written premiums by insurance subsidiary:</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2398"/>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781"/>
        <w:gridCol w:w="166"/>
        <w:gridCol w:w="146"/>
        <w:gridCol w:w="163"/>
        <w:gridCol w:w="588"/>
        <w:gridCol w:w="470"/>
      </w:tblGrid>
      <w:tr>
        <w:tc>
          <w:tcPr>
            <w:tcW w:w="2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c>
          <w:tcPr>
            <w:tcW w:w="239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70"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9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70"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9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128" w:type="dxa"/>
            <w:gridSpan w:val="18"/>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470"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9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398"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GWP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39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5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470"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right"/>
            </w:pPr>
            <w:r>
              <w:t> </w:t>
            </w:r>
          </w:p>
        </w:tc>
      </w:tr>
      <w:tr>
        <w:tc>
          <w:tcPr>
            <w:tcW w:w="23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1,039,575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781,078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258,497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w:t>
            </w:r>
          </w:p>
        </w:tc>
        <w:tc>
          <w:tcPr>
            <w:tcW w:w="47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39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PESIC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846,143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681,048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44.4</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165,095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w:t>
            </w:r>
          </w:p>
        </w:tc>
        <w:tc>
          <w:tcPr>
            <w:tcW w:w="470"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3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Laulima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70,080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58,974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w:t>
            </w:r>
          </w:p>
        </w:tc>
        <w:tc>
          <w:tcPr>
            <w:tcW w:w="47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39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PCSC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60,685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60,685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70"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39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FIA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63"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(25.3</w:t>
            </w:r>
          </w:p>
        </w:tc>
        <w:tc>
          <w:tcPr>
            <w:tcW w:w="47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2398"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Total gross written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2,027,330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1,535,623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63"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8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32.0</w:t>
            </w:r>
          </w:p>
        </w:tc>
        <w:tc>
          <w:tcPr>
            <w:tcW w:w="4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Ceded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Ceded written premiums increased $156.5 million, or 19.1%, to $975.7 million for the nine months ended September 30, 2026 from $819.2 million for the nine months ended September 30, 2025. The increase in ceded written premium was primarily driven by growth in written premiums subject to quota share arrangements, such as those in Crop and Casualty lines.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Although our volume of ceded written premiums increased, ceded written premiums as a percentage of gross written premiums decreased to 48.1% for the nine months ended September 30, 2026 from 53.3% for the nine months ended September 30, 2025. This percentage decrease was driven by changes in our composition of business whereby premiums written in the current period were subject to lower quota share or XOL cession percentages compared to premiums written in the prior period.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Written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written premiums increased $335.2 million, or 46.8%, to $1.1 billion for the nine months ended September 30, 2026 from $716.5 million for the nine months ended September 30, 2025. The increase was primarily due to an increase in gross written premiums, primarily in our Crop and Casualty lines, partially offset by increased ceded written premiums.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Net Earned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Net earned premiums increased $344.6 million, or 60.5%, to $913.8 million for the nine months ended September 30, 2026 from $569.2 million for the nine months ended September 30, 2025 due primarily to the earning of increased gross written premiums partially offset by the earning of ceded written premiums under reinsurance agreements. The following table shows the amount of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premiums we earned on a gross and net basis and net earned premiums as a percentage of gross earned premiums in each period presented:</w:t>
      </w:r>
    </w:p>
    <w:p>
      <w:pPr>
        <w:pStyle w:val="TextBody"/>
        <w:bidi w:val="0"/>
        <w:spacing w:lineRule="auto" w:line="273"/>
        <w:jc w:val="left"/>
      </w:pPr>
      <w:r>
        <w:t> </w:t>
      </w:r>
    </w:p>
    <w:tbl>
      <w:tblPr>
        <w:tblW w:w="8111" w:type="dxa"/>
        <w:jc w:val="left"/>
        <w:tblInd w:w="0" w:type="dxa"/>
        <w:tblLayout w:type="fixed"/>
        <w:tblCellMar>
          <w:top w:w="28" w:type="dxa"/>
          <w:left w:w="28" w:type="dxa"/>
          <w:bottom w:w="28" w:type="dxa"/>
          <w:right w:w="28" w:type="dxa"/>
        </w:tblCellMar>
      </w:tblPr>
      <w:tblGrid>
        <w:gridCol w:w="2176"/>
        <w:gridCol w:w="146"/>
        <w:gridCol w:w="211"/>
        <w:gridCol w:w="931"/>
        <w:gridCol w:w="271"/>
        <w:gridCol w:w="146"/>
        <w:gridCol w:w="211"/>
        <w:gridCol w:w="931"/>
        <w:gridCol w:w="271"/>
        <w:gridCol w:w="146"/>
        <w:gridCol w:w="211"/>
        <w:gridCol w:w="841"/>
        <w:gridCol w:w="166"/>
        <w:gridCol w:w="146"/>
        <w:gridCol w:w="236"/>
        <w:gridCol w:w="755"/>
        <w:gridCol w:w="316"/>
      </w:tblGrid>
      <w:t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47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1,792,875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1,303,323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489,552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37.6</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1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Ceded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(879,094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(734,148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913,781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569,175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344,606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60.5</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21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earned premium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bl>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net earned premium ratio increased as premiums earned in the current period were subject to lower quota share or XOL cession percentages compared to premiums earned in the prior period. This was primarily driven by our decision to retain a higher percentage of premiums on our Crop business in 2026 and lower XOL pricing versus the prior year.</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Commission and Other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Commission and other income decreased $0.3 million to $3.7 million for the nine months ended September 30, 2026 from $4.0 million for the nine months ended September 30, 2025. The balance decreased due to the non-recurrence of a reimbursement arrangement that benefited us in the prior year.</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Losses and Loss Adjustment Expenses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Losses and loss adjustment expenses increased $180.0 million, or 114.1%, to $337.7 million for the nine months ended September 30, 2026 from $157.7 million for the nine months ended September 30, 2025. Losses and loss adjustment expenses consisted of the following elements during the respective periods:</w:t>
      </w:r>
    </w:p>
    <w:p>
      <w:pPr>
        <w:pStyle w:val="TextBody"/>
        <w:bidi w:val="0"/>
        <w:spacing w:lineRule="auto" w:line="273"/>
        <w:jc w:val="left"/>
      </w:pPr>
      <w:r>
        <w:t> </w:t>
      </w:r>
    </w:p>
    <w:tbl>
      <w:tblPr>
        <w:tblW w:w="9066" w:type="dxa"/>
        <w:jc w:val="left"/>
        <w:tblInd w:w="0" w:type="dxa"/>
        <w:tblLayout w:type="fixed"/>
        <w:tblCellMar>
          <w:top w:w="28" w:type="dxa"/>
          <w:left w:w="28" w:type="dxa"/>
          <w:bottom w:w="28" w:type="dxa"/>
          <w:right w:w="28" w:type="dxa"/>
        </w:tblCellMar>
      </w:tblPr>
      <w:tblGrid>
        <w:gridCol w:w="3511"/>
        <w:gridCol w:w="146"/>
        <w:gridCol w:w="211"/>
        <w:gridCol w:w="781"/>
        <w:gridCol w:w="271"/>
        <w:gridCol w:w="146"/>
        <w:gridCol w:w="211"/>
        <w:gridCol w:w="781"/>
        <w:gridCol w:w="271"/>
        <w:gridCol w:w="146"/>
        <w:gridCol w:w="211"/>
        <w:gridCol w:w="781"/>
        <w:gridCol w:w="146"/>
        <w:gridCol w:w="146"/>
        <w:gridCol w:w="201"/>
        <w:gridCol w:w="790"/>
        <w:gridCol w:w="316"/>
      </w:tblGrid>
      <w:t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093"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4,302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2,967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222.2</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333,430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156,404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337,732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157,739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Non-catastrophe loss ratio</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5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activity for the nine months ended September 30, 2026 was primarily related to hurricane and flood events in Hawaii and flood events in the Midwest during the third quarter, offset by favorable development on prior period catastrophe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activity for the nine months ended September 30, 2025 was related to flood losses in the third quarter offset by favorable development on prior period catastrophe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Non-catastrophe losses increased for the nine months ended September 30, 2026 compared to the nine months ended September 30, 2025 due mainly to higher attritional losses driven by premium growth on lines of business subject to attritional losses such as Casualty, Crop, and Inland Marine and Property and due to our decision to retain a higher percentage of premiums and losses on our Crop business in 2026.</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Acquisition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Acquisition expenses increased $59.7 million, or 38.7%, to $213.9 million for the nine months ended September 30, 2026 from $154.3 million for the nine months ended September 30, 2025. The increase was primarily due to higher commissions and premium-related taxes resulting from higher gross earned premiums. Acquisition expenses as a percentage of gross earned premiums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were 11.9% for the nine months ended September 30, 2026 compared to 11.8% for the nine months ended September 30, 2025. Acquisition expenses as a percentage of gross earned premiums increased due to higher commissions as a percentage of gross earned premiums due to changes in the composition of our business.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Other Underwriting Expenses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increased $77.5 million, or 59.8%, to $207.1 million for the nine months ended September 30, 2026 from $129.6 million for the nine months ended September 30, 2025. The increase was primarily due to higher payroll, technology, and stock-based compensation expenses associated with general growth, including the acquisition of Gray Surety.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underwriting expenses as a percentage of gross earned premiums were 11.5% for the nine months ended September 30, 2026 compared to 9.9% for the nine months ended September 30, 2025. Excluding the impact of expenses relating to transactions, stock-based compensation, amortization of intangibles, and expenses associated with catastrophe bonds, other underwriting expenses as a percentage of gross earned premiums were 8.3% for the nine months ended September 30, 2026 compared to 8.0% for the nine months ended September 30, 2025. Other underwriting expenses as a percentage of gross earned premiums fluctuates period over period based on timing of certain expenses relative to premium growth.</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Net Investment Income and Net Realized and Unrealized Gains (Losses) on Investments</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investment income increased $20.3 million, or 50.8%, to $60.3 million for the nine months ended September 30, 2026 from $40.0 million for the nine months ended September 30, 2025. The increase was primarily due to a higher average balance of investments during the nine months ended September 30, 2026 due to the investing of cash generated from operations and higher yields on invested assets versus the prior year.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incurred $2.2 million of net realized and unrealized gains on investments for the nine months ended September 30, 2026 compared to $9.5 million of net realized and unrealized gains for the nine months ended September 30, 2025. For the nine months ended September 30, 2026, the balance was primarily driven by net unrealized gains on other investments and equity securities. For the nine months ended September 30, 2025, the balance was primarily driven by unrealized gains on our equity securities. Unrealized gains and losses on available-for-sale fixed maturity securities are recognized as a component of other comprehensive income and do not impact our net income. The following table summarizes the components of our investment income for each period presented:</w:t>
      </w:r>
    </w:p>
    <w:p>
      <w:pPr>
        <w:pStyle w:val="TextBody"/>
        <w:bidi w:val="0"/>
        <w:spacing w:lineRule="auto" w:line="273"/>
        <w:jc w:val="left"/>
      </w:pPr>
      <w:r>
        <w:t> </w:t>
      </w:r>
    </w:p>
    <w:tbl>
      <w:tblPr>
        <w:tblW w:w="9206" w:type="dxa"/>
        <w:jc w:val="left"/>
        <w:tblInd w:w="0" w:type="dxa"/>
        <w:tblLayout w:type="fixed"/>
        <w:tblCellMar>
          <w:top w:w="28" w:type="dxa"/>
          <w:left w:w="28" w:type="dxa"/>
          <w:bottom w:w="28" w:type="dxa"/>
          <w:right w:w="28" w:type="dxa"/>
        </w:tblCellMar>
      </w:tblPr>
      <w:tblGrid>
        <w:gridCol w:w="4096"/>
        <w:gridCol w:w="146"/>
        <w:gridCol w:w="211"/>
        <w:gridCol w:w="676"/>
        <w:gridCol w:w="166"/>
        <w:gridCol w:w="146"/>
        <w:gridCol w:w="211"/>
        <w:gridCol w:w="676"/>
        <w:gridCol w:w="166"/>
        <w:gridCol w:w="146"/>
        <w:gridCol w:w="211"/>
        <w:gridCol w:w="676"/>
        <w:gridCol w:w="166"/>
        <w:gridCol w:w="146"/>
        <w:gridCol w:w="215"/>
        <w:gridCol w:w="776"/>
        <w:gridCol w:w="376"/>
      </w:tblGrid>
      <w:t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4588" w:type="dxa"/>
            <w:gridSpan w:val="14"/>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57,731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39,824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17,907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45.0</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Dividend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 management fees and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90.4</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50.8</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26.3</w:t>
            </w:r>
          </w:p>
        </w:tc>
        <w:tc>
          <w:tcPr>
            <w:tcW w:w="3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NM- not meaningful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7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Interest expense increased $12.9 million to $13.2 million for the nine months ended September 30, 2026 from $0.3 million for the nine months ended September 30, 2025, primarily due to interest on the Term Loan entered into in January 2026 to fund the acquisition of Gray Surety and, to a lesser extent, borrowings under our FHLB line of credit.</w:t>
      </w:r>
    </w:p>
    <w:p>
      <w:pPr>
        <w:pStyle w:val="TextBody"/>
        <w:bidi w:val="0"/>
        <w:spacing w:lineRule="auto" w:line="273"/>
        <w:jc w:val="left"/>
      </w:pPr>
      <w: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Income tax expense increased $7.3 million to $47.1 million for the nine months ended September 30, 2026 from $39.8 million for the nine months ended September 30, 2025 due to higher pre-tax income for the period ended September 30, 2026. For the nine months ended September 30, 2026 and 2025, our income tax rates of 22.7% and 22.0%, respectively, were higher than the statutory rate of 21% due primarily to non-deductible executive compensation expense.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Reconciliation of Non</w:t>
      </w:r>
      <w:r>
        <w:rPr>
          <w:rFonts w:ascii="Times New Roman" w:hAnsi="Times New Roman"/>
          <w:color w:val="000000"/>
          <w:sz w:val="20"/>
        </w:rPr>
        <w:noBreakHyphen/>
      </w:r>
      <w:r>
        <w:rPr>
          <w:rFonts w:ascii="Times New Roman" w:hAnsi="Times New Roman"/>
          <w:b/>
          <w:i/>
          <w:color w:val="000000"/>
          <w:sz w:val="20"/>
        </w:rPr>
        <w:t>GAAP Financial Measures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Underwriting Revenue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Total revenue calculated in accordance with GAAP reconciles to underwriting revenue as follows:</w:t>
      </w:r>
    </w:p>
    <w:p>
      <w:pPr>
        <w:pStyle w:val="TextBody"/>
        <w:bidi w:val="0"/>
        <w:spacing w:lineRule="auto" w:line="273"/>
        <w:jc w:val="left"/>
      </w:pPr>
      <w:r>
        <w:t> </w:t>
      </w:r>
    </w:p>
    <w:tbl>
      <w:tblPr>
        <w:tblW w:w="10002" w:type="dxa"/>
        <w:jc w:val="left"/>
        <w:tblInd w:w="0" w:type="dxa"/>
        <w:tblLayout w:type="fixed"/>
        <w:tblCellMar>
          <w:top w:w="28" w:type="dxa"/>
          <w:left w:w="28" w:type="dxa"/>
          <w:bottom w:w="28" w:type="dxa"/>
          <w:right w:w="28" w:type="dxa"/>
        </w:tblCellMar>
      </w:tblPr>
      <w:tblGrid>
        <w:gridCol w:w="4741"/>
        <w:gridCol w:w="146"/>
        <w:gridCol w:w="211"/>
        <w:gridCol w:w="781"/>
        <w:gridCol w:w="166"/>
        <w:gridCol w:w="146"/>
        <w:gridCol w:w="211"/>
        <w:gridCol w:w="781"/>
        <w:gridCol w:w="166"/>
        <w:gridCol w:w="146"/>
        <w:gridCol w:w="211"/>
        <w:gridCol w:w="781"/>
        <w:gridCol w:w="166"/>
        <w:gridCol w:w="146"/>
        <w:gridCol w:w="211"/>
        <w:gridCol w:w="781"/>
        <w:gridCol w:w="211"/>
      </w:tblGrid>
      <w:t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386,590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244,660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979,952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622,604</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(60,340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(40,014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losses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Underwriting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226,595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917,445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573,129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Underwriting Income and Adjusted Underwriting Income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underwriting income as income before income taxes excluding net investment income, net realized and unrealized gains and losses on investments, and interest expense. Underwriting income represents the pre</w:t>
        <w:noBreakHyphen/>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noBreakHyphen/>
        <w:t>tax income calculated in accordance with GAAP, and other companies may define underwriting income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noBreakHyphen/>
        <w:t>tax income calculated in accordance with GAAP. Other companies may define adjusted underwriting income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Income before income taxes calculated in accordance with GAAP reconciles to underwriting income and adjusted underwriting income as follows:</w:t>
      </w:r>
    </w:p>
    <w:p>
      <w:pPr>
        <w:pStyle w:val="TextBody"/>
        <w:bidi w:val="0"/>
        <w:spacing w:lineRule="auto" w:line="273"/>
        <w:jc w:val="left"/>
      </w:pPr>
      <w:r>
        <w:t> </w:t>
      </w:r>
    </w:p>
    <w:tbl>
      <w:tblPr>
        <w:tblW w:w="9912"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166"/>
        <w:gridCol w:w="146"/>
        <w:gridCol w:w="211"/>
        <w:gridCol w:w="781"/>
        <w:gridCol w:w="166"/>
        <w:gridCol w:w="146"/>
        <w:gridCol w:w="211"/>
        <w:gridCol w:w="781"/>
        <w:gridCol w:w="211"/>
      </w:tblGrid>
      <w:t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84,732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67,139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207,997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180,732</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(22,406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(60,340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(40,014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losses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(9,461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Underwriting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131,561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3,570</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15,471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3,400</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underwriting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156,663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Adjusted Net Income</w:t>
      </w:r>
      <w:r>
        <w:rPr>
          <w:rFonts w:ascii="Times New Roman" w:hAnsi="Times New Roman"/>
          <w:color w:val="000000"/>
          <w:sz w:val="20"/>
        </w:rPr>
        <w:t xml:space="preserve">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we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profitability of our business and should not be viewed as a substitute for net income calculated in accordance with GAAP. Other companies may define adjusted net income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Net income calculated in accordance with GAAP reconciles to adjusted net income as follows:</w:t>
      </w:r>
    </w:p>
    <w:p>
      <w:pPr>
        <w:pStyle w:val="TextBody"/>
        <w:bidi w:val="0"/>
        <w:spacing w:lineRule="auto" w:line="273"/>
        <w:jc w:val="left"/>
      </w:pPr>
      <w:r>
        <w:t> </w:t>
      </w:r>
    </w:p>
    <w:tbl>
      <w:tblPr>
        <w:tblW w:w="9792" w:type="dxa"/>
        <w:jc w:val="left"/>
        <w:tblInd w:w="0" w:type="dxa"/>
        <w:tblLayout w:type="fixed"/>
        <w:tblCellMar>
          <w:top w:w="28" w:type="dxa"/>
          <w:left w:w="28" w:type="dxa"/>
          <w:bottom w:w="28" w:type="dxa"/>
          <w:right w:w="28" w:type="dxa"/>
        </w:tblCellMar>
      </w:tblPr>
      <w:tblGrid>
        <w:gridCol w:w="4741"/>
        <w:gridCol w:w="146"/>
        <w:gridCol w:w="211"/>
        <w:gridCol w:w="676"/>
        <w:gridCol w:w="166"/>
        <w:gridCol w:w="146"/>
        <w:gridCol w:w="211"/>
        <w:gridCol w:w="676"/>
        <w:gridCol w:w="166"/>
        <w:gridCol w:w="146"/>
        <w:gridCol w:w="211"/>
        <w:gridCol w:w="781"/>
        <w:gridCol w:w="166"/>
        <w:gridCol w:w="146"/>
        <w:gridCol w:w="211"/>
        <w:gridCol w:w="781"/>
        <w:gridCol w:w="211"/>
      </w:tblGrid>
      <w:t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08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9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65,335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51,455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160,874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140,905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realized and unrealized losses (gains) on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(9,461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3,570</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15,471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6,161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3,400</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Tax impact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155,003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Annualized Adjusted Return on 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Annualized adjusted return on equity is calculated as follows:</w:t>
      </w:r>
    </w:p>
    <w:p>
      <w:pPr>
        <w:pStyle w:val="TextBody"/>
        <w:bidi w:val="0"/>
        <w:spacing w:lineRule="auto" w:line="273"/>
        <w:jc w:val="left"/>
      </w:pPr>
      <w:r>
        <w:t> </w:t>
      </w:r>
    </w:p>
    <w:tbl>
      <w:tblPr>
        <w:tblW w:w="8832" w:type="dxa"/>
        <w:jc w:val="left"/>
        <w:tblInd w:w="0" w:type="dxa"/>
        <w:tblLayout w:type="fixed"/>
        <w:tblCellMar>
          <w:top w:w="28" w:type="dxa"/>
          <w:left w:w="28" w:type="dxa"/>
          <w:bottom w:w="28" w:type="dxa"/>
          <w:right w:w="28" w:type="dxa"/>
        </w:tblCellMar>
      </w:tblPr>
      <w:tblGrid>
        <w:gridCol w:w="3151"/>
        <w:gridCol w:w="146"/>
        <w:gridCol w:w="211"/>
        <w:gridCol w:w="781"/>
        <w:gridCol w:w="271"/>
        <w:gridCol w:w="146"/>
        <w:gridCol w:w="211"/>
        <w:gridCol w:w="781"/>
        <w:gridCol w:w="271"/>
        <w:gridCol w:w="146"/>
        <w:gridCol w:w="211"/>
        <w:gridCol w:w="781"/>
        <w:gridCol w:w="271"/>
        <w:gridCol w:w="146"/>
        <w:gridCol w:w="211"/>
        <w:gridCol w:w="781"/>
        <w:gridCol w:w="316"/>
      </w:tblGrid>
      <w:t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Annualized adjusted 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325,244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220,656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277,621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206,671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Average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982,957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862,654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963,820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803,570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Annualized adjusted return on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Adjusted Combined Ratio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Adjusted combined ratio is calculated as follows:</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4524"/>
        <w:gridCol w:w="146"/>
        <w:gridCol w:w="211"/>
        <w:gridCol w:w="781"/>
        <w:gridCol w:w="271"/>
        <w:gridCol w:w="146"/>
        <w:gridCol w:w="211"/>
        <w:gridCol w:w="781"/>
        <w:gridCol w:w="271"/>
        <w:gridCol w:w="146"/>
        <w:gridCol w:w="211"/>
        <w:gridCol w:w="781"/>
        <w:gridCol w:w="271"/>
        <w:gridCol w:w="146"/>
        <w:gridCol w:w="211"/>
        <w:gridCol w:w="781"/>
        <w:gridCol w:w="316"/>
      </w:tblGrid>
      <w:t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Sum of losses and loss adjustment expenses, acquisition expenses,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295,235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175,940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755,048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437,614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365,391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225,147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913,781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569,175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(10,545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(23,246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(15,471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(6,161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(21,396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both"/>
        <w:rPr>
          <w:rFonts w:ascii="Times New Roman" w:hAnsi="Times New Roman"/>
          <w:b/>
          <w:i/>
          <w:color w:val="000000"/>
          <w:sz w:val="20"/>
        </w:rPr>
      </w:pPr>
      <w:r>
        <w:rPr>
          <w:rFonts w:ascii="Times New Roman" w:hAnsi="Times New Roman"/>
          <w:b/>
          <w:i/>
          <w:color w:val="000000"/>
          <w:sz w:val="20"/>
        </w:rPr>
        <w:t>Diluted Adjusted Earnings Per Share</w:t>
      </w:r>
    </w:p>
    <w:p>
      <w:pPr>
        <w:pStyle w:val="TextBody"/>
        <w:bidi w:val="0"/>
        <w:spacing w:lineRule="auto" w:line="273" w:before="200" w:after="283"/>
        <w:jc w:val="both"/>
        <w:rPr>
          <w:rFonts w:ascii="Times New Roman" w:hAnsi="Times New Roman"/>
          <w:color w:val="000000"/>
          <w:sz w:val="20"/>
        </w:rPr>
      </w:pPr>
      <w:r>
        <w:rPr>
          <w:rFonts w:ascii="Times New Roman" w:hAnsi="Times New Roman"/>
          <w:color w:val="000000"/>
          <w:sz w:val="20"/>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pStyle w:val="TextBody"/>
        <w:bidi w:val="0"/>
        <w:spacing w:lineRule="auto" w:line="273" w:before="200" w:after="283"/>
        <w:jc w:val="both"/>
        <w:rPr>
          <w:rFonts w:ascii="Times New Roman" w:hAnsi="Times New Roman"/>
          <w:color w:val="000000"/>
          <w:sz w:val="20"/>
        </w:rPr>
      </w:pPr>
      <w:r>
        <w:rPr>
          <w:rFonts w:ascii="Times New Roman" w:hAnsi="Times New Roman"/>
          <w:color w:val="000000"/>
          <w:sz w:val="20"/>
        </w:rPr>
        <w:t>Diluted adjusted earnings per share is calculated as follows:</w:t>
      </w:r>
    </w:p>
    <w:p>
      <w:pPr>
        <w:pStyle w:val="TextBody"/>
        <w:bidi w:val="0"/>
        <w:spacing w:lineRule="auto" w:line="273"/>
        <w:jc w:val="both"/>
      </w:pPr>
      <w:r>
        <w:t> </w:t>
      </w:r>
    </w:p>
    <w:tbl>
      <w:tblPr>
        <w:tblW w:w="10205" w:type="dxa"/>
        <w:jc w:val="left"/>
        <w:tblInd w:w="0" w:type="dxa"/>
        <w:tblLayout w:type="fixed"/>
        <w:tblCellMar>
          <w:top w:w="28" w:type="dxa"/>
          <w:left w:w="28" w:type="dxa"/>
          <w:bottom w:w="28" w:type="dxa"/>
          <w:right w:w="28" w:type="dxa"/>
        </w:tblCellMar>
      </w:tblPr>
      <w:tblGrid>
        <w:gridCol w:w="3521"/>
        <w:gridCol w:w="146"/>
        <w:gridCol w:w="228"/>
        <w:gridCol w:w="1126"/>
        <w:gridCol w:w="158"/>
        <w:gridCol w:w="158"/>
        <w:gridCol w:w="228"/>
        <w:gridCol w:w="1126"/>
        <w:gridCol w:w="146"/>
        <w:gridCol w:w="146"/>
        <w:gridCol w:w="228"/>
        <w:gridCol w:w="1126"/>
        <w:gridCol w:w="158"/>
        <w:gridCol w:w="158"/>
        <w:gridCol w:w="228"/>
        <w:gridCol w:w="1126"/>
        <w:gridCol w:w="198"/>
      </w:tblGrid>
      <w:t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2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302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02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5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81,311</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208,216</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155,003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35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26,995,574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27,446,519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27,143,378</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27,533,533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35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adjusted earnings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7.67</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both"/>
      </w:pPr>
      <w: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Catastrophe Loss Ratio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Loss ratio and catastrophe loss ratio are calculated as follows:</w:t>
      </w:r>
    </w:p>
    <w:p>
      <w:pPr>
        <w:pStyle w:val="TextBody"/>
        <w:bidi w:val="0"/>
        <w:spacing w:lineRule="auto" w:line="273"/>
        <w:jc w:val="left"/>
      </w:pPr>
      <w:r>
        <w:t> </w:t>
      </w:r>
    </w:p>
    <w:tbl>
      <w:tblPr>
        <w:tblW w:w="9732" w:type="dxa"/>
        <w:jc w:val="left"/>
        <w:tblInd w:w="0" w:type="dxa"/>
        <w:tblLayout w:type="fixed"/>
        <w:tblCellMar>
          <w:top w:w="28" w:type="dxa"/>
          <w:left w:w="28" w:type="dxa"/>
          <w:bottom w:w="28" w:type="dxa"/>
          <w:right w:w="28" w:type="dxa"/>
        </w:tblCellMar>
      </w:tblPr>
      <w:tblGrid>
        <w:gridCol w:w="4051"/>
        <w:gridCol w:w="146"/>
        <w:gridCol w:w="211"/>
        <w:gridCol w:w="781"/>
        <w:gridCol w:w="271"/>
        <w:gridCol w:w="146"/>
        <w:gridCol w:w="211"/>
        <w:gridCol w:w="781"/>
        <w:gridCol w:w="271"/>
        <w:gridCol w:w="146"/>
        <w:gridCol w:w="211"/>
        <w:gridCol w:w="781"/>
        <w:gridCol w:w="271"/>
        <w:gridCol w:w="146"/>
        <w:gridCol w:w="211"/>
        <w:gridCol w:w="781"/>
        <w:gridCol w:w="316"/>
      </w:tblGrid>
      <w:t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Losses and loss adjustment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151,646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337,732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157,739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365,391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225,147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913,781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569,175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365,391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225,147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913,781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569,175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0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Adjusted Combined Ratio Excluding Catastrophe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Adjusted combined ratio excluding catastrophe losses is calculated as follows:</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4524"/>
        <w:gridCol w:w="146"/>
        <w:gridCol w:w="211"/>
        <w:gridCol w:w="781"/>
        <w:gridCol w:w="271"/>
        <w:gridCol w:w="146"/>
        <w:gridCol w:w="211"/>
        <w:gridCol w:w="781"/>
        <w:gridCol w:w="271"/>
        <w:gridCol w:w="146"/>
        <w:gridCol w:w="211"/>
        <w:gridCol w:w="781"/>
        <w:gridCol w:w="271"/>
        <w:gridCol w:w="146"/>
        <w:gridCol w:w="211"/>
        <w:gridCol w:w="781"/>
        <w:gridCol w:w="316"/>
      </w:tblGrid>
      <w:t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0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 Sum of losses and loss adjustment expenses, acquisition expenses, and other underwriting expenses, net of commission and 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295,235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175,940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755,048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437,614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 Net earned premiums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365,391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225,147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913,781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569,175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Combined ratio</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Adjustments to 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transactions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(10,545</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(7,022</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(5,379</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(23,246</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(15,471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(6,161</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(1,346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(21,396</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(3,400</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 associated with catastrophe bond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(2,330</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(2,661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Catastrophe losses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(1,335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5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Adjusted combined ratio excluding catastrophe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sz w:val="20"/>
        </w:rPr>
      </w:pPr>
      <w:r>
        <w:rPr>
          <w:rFonts w:ascii="Times New Roman" w:hAnsi="Times New Roman"/>
          <w:b/>
          <w:i/>
          <w:color w:val="000000"/>
          <w:sz w:val="20"/>
        </w:rPr>
        <w:t>Tangible Stockholders</w:t>
      </w:r>
      <w:r>
        <w:rPr>
          <w:rFonts w:ascii="Times New Roman" w:hAnsi="Times New Roman"/>
          <w:color w:val="000000"/>
          <w:sz w:val="20"/>
        </w:rPr>
        <w:t xml:space="preserve">’ </w:t>
      </w:r>
      <w:r>
        <w:rPr>
          <w:rFonts w:ascii="Times New Roman" w:hAnsi="Times New Roman"/>
          <w:b/>
          <w:i/>
          <w:color w:val="000000"/>
          <w:sz w:val="20"/>
        </w:rPr>
        <w:t>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define tangible stockholders’ equity as stockholders’ equity less goodwill and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Stockholders’ equity calculated in accordance with GAAP reconciles to tangible stockholders’ equity as follows:</w:t>
      </w:r>
    </w:p>
    <w:p>
      <w:pPr>
        <w:pStyle w:val="TextBody"/>
        <w:bidi w:val="0"/>
        <w:spacing w:lineRule="auto" w:line="273"/>
        <w:jc w:val="left"/>
      </w:pPr>
      <w:r>
        <w:t> </w:t>
      </w:r>
    </w:p>
    <w:tbl>
      <w:tblPr>
        <w:tblW w:w="5860" w:type="dxa"/>
        <w:jc w:val="left"/>
        <w:tblInd w:w="0" w:type="dxa"/>
        <w:tblLayout w:type="fixed"/>
        <w:tblCellMar>
          <w:top w:w="28" w:type="dxa"/>
          <w:left w:w="28" w:type="dxa"/>
          <w:bottom w:w="28" w:type="dxa"/>
          <w:right w:w="28" w:type="dxa"/>
        </w:tblCellMar>
      </w:tblPr>
      <w:tblGrid>
        <w:gridCol w:w="2626"/>
        <w:gridCol w:w="146"/>
        <w:gridCol w:w="261"/>
        <w:gridCol w:w="1044"/>
        <w:gridCol w:w="166"/>
        <w:gridCol w:w="146"/>
        <w:gridCol w:w="268"/>
        <w:gridCol w:w="992"/>
        <w:gridCol w:w="211"/>
      </w:tblGrid>
      <w:t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877"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26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984,972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942,667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26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Goodwill and intangible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26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Tangible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756,546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881,613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Sources and Uses of Funds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operate as a holding company with no business operations of our own. Consequently, our ability to pay dividends to stockholders and pay taxes and administrative expenses is largely dependent on income generated by our subsidiaries and dividends or other distributions paid from our subsidiaries, whose ability to pay us is highly regulated.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U.S. insurance company subsidiaries, PSIC, PESIC, FIA, and PCSC are restricted by the statutes as to the amount of dividends that they may pay without prior approval by state insurance commissioners.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Under California and Oregon statutes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$176.0 million in 2026 without approval by the California and Oregon Insurance Commissioners.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$7.4 million in 2026 without approval of the Arizona Insurance Commissioner.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New Jersey law, which governs FIA, all dividend payments require 30-day prior approval of the New Jersey Commissioner of Banking and Insurance (the “Commissioner”). The maximum dividend, which may be paid in any twelve-month period, is limited to the greater of 10% of statutory surplus as of December 31 of the preceding year or the net gain from operations of the preceding calendar year. Cash dividends may only be paid out of surplus derived from realized net profits. Based on these limitations, FIA has capacity to pay a dividend of $1.8 million in 2026, conditional upon the Commissioner’s approval.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Louisiana law which governs PCSC, the maximum amount of stockholder dividends that PCSC may pay without prior approval of the Louisiana Insurance Commissioner is limited to the lesser of (i) statutory net income for the preceding three calendar years excluding realized capital gains, less dividends paid during the preceding two calendar years, or (ii) 10% of statutory surplus. Based on the above restrictions, PCSC may pay a dividend or distribution of no greater than $13.2 million in 2026 without approval of the Louisiana Insurance Commissioner.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Bermuda Monetary Authority (“BMA”), from declaring or paying any dividends during the next financial year. Furthermore, the Bermuda Insurance Act 1978, as amended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surplus as reported on its prior year statutory balance sheet. The affidavit must state that in the opinion of those swearing the declaration of such dividend, such dividend has not caused the insurer to fail to meet its relevant margins.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Further, under the Bermuda Companies Act 1981, as amended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Pursuant to Bermuda regulations, the maximum amount of dividends and return of capital available to be paid by a reinsurer is determined pursuant to a formula. Under this formula, the maximum amount of dividends and return of capital available from PSRE during 2026 is calculated to be approximately $4.5 million. However, this dividend amount is subject to annual enhanced solvency requirement calculations.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cash flows from operations may differ substantially from our net income due to non</w:t>
        <w:noBreakHyphen/>
        <w:t>cash charges or due to changes in balance sheet accounts.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Management believes that our current liquidity and cash receipts from written premiums, investment income, proceeds from investment sales and redemptions, and reinsurance recoveries, if necessary, are sufficient to cover cash outflows for each of our insurance subsidiaries in the foreseeable future.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following table summarizes our cash flows for the nine months ended September 30, 2026 and 2025:</w:t>
      </w:r>
    </w:p>
    <w:p>
      <w:pPr>
        <w:pStyle w:val="TextBody"/>
        <w:bidi w:val="0"/>
        <w:spacing w:lineRule="auto" w:line="273"/>
        <w:jc w:val="left"/>
      </w:pPr>
      <w:r>
        <w:t> </w:t>
      </w:r>
    </w:p>
    <w:tbl>
      <w:tblPr>
        <w:tblW w:w="7169" w:type="dxa"/>
        <w:jc w:val="left"/>
        <w:tblInd w:w="0" w:type="dxa"/>
        <w:tblLayout w:type="fixed"/>
        <w:tblCellMar>
          <w:top w:w="28" w:type="dxa"/>
          <w:left w:w="28" w:type="dxa"/>
          <w:bottom w:w="28" w:type="dxa"/>
          <w:right w:w="28" w:type="dxa"/>
        </w:tblCellMar>
      </w:tblPr>
      <w:tblGrid>
        <w:gridCol w:w="4396"/>
        <w:gridCol w:w="146"/>
        <w:gridCol w:w="211"/>
        <w:gridCol w:w="841"/>
        <w:gridCol w:w="166"/>
        <w:gridCol w:w="146"/>
        <w:gridCol w:w="211"/>
        <w:gridCol w:w="841"/>
        <w:gridCol w:w="211"/>
      </w:tblGrid>
      <w:t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1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41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4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334,759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291,705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4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(623,043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(230,435</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3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43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31,221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cash flow from operating activities was positive during the nine months ended September 30, 2026 and 2025. 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Cash used in investing activities for the nine months ended September 30, 2026 and 2025 related primarily to purchases of fixed maturity securities in excess of sales and maturities and acquisitions occurring in each period.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Cash provided by financing activities for the nine months ended September 30, 2026 was related to the issuance of a term loan for $300.0 million, net borrowings under our FHLB line of credit of $21.0 million, the receipt of $3.4 million in proceeds from policyholder contributions of surplus, the receipt of $2.1 million in proceeds from stock option exercises, and the receipt of $1.6 million in proceeds from our employee stock purchase plan, partially offset by repurchases of $73.0 million of our common stock, dividend payments of $11.8 million, principal repayment on our term loan of $3.7 million, and payment of debt issuance costs of $2.6 million. Cash used in financing activities for the nine months ended September 30, 2025 was related to the repurchase of $37.3 million</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of our common stock and $0.1 million in offering costs from the August 2024 secondary offering, partially offset by the receipt of $3.3 million in proceeds from stock option exercises, the receipt of $2.9 million in proceeds from policyholder contributions of surplus, and the receipt of $1.2 million in proceeds from our employee stock purchase plan.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$1.8 billion in cash and investment securities available at September 30, 2026. We also have the ability to access additional capital through pursuing third</w:t>
        <w:noBreakHyphen/>
        <w:t>party borrowings, sales of our equity or debt securities or entrance into a reinsurance arrangement.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Share Repurchases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used and may use our cash in the future to purchase outstanding shares of our common stock. On July 31, 2025, our Board of Directors approved a share repurchase program, (the “2025 Repurchase Program”), authorizing the repurchase of up to $150 million of our outstanding common stock through July 31, 2027. Under the 2025 Repurchase Program, shares may be repurchased from time to time in the open market or negotiated transactions at prevailing market rates, or by other means in accordance with federal securities laws. We repurchased 226,130 shares for $27.3 million under the 2025 Repurchase Program during the nine months ended September 30, 2026 and, because the 2025 Repurchase Program was replaced by the 2026 Repurchase Program, no further repurchases may be made under it.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April 30, 2026, our Board of Directors approved a share repurchase program, (the “2026 Repurchase Program”), effective May 6, 2026, which replaces the 2025 Repurchase Program, and authorizes the repurchase of up to $200 million of our outstanding common stock through May 6, 2028. Under the 2026 Repurchase Program, shares may be repurchased from time to time in the open market or negotiated transactions at prevailing market rates, or by other means in accordance with federal securities laws. We repurchased 402,844 shares for $45.7 million under this program during the nine months ended September 30, 2026 and $154.3 million remains available for future repurchases.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July 30, 2026 our Board of Directors declared a quarterly cash dividend of $0.45 per share on our common stock, representing the first cash dividend declared on our common stock. The dividend was paid on September 2, 2026 to stockholders of record as of August 19, 2026. The aggregate amount of the dividend declared was approximately $12.2 million, of which $11.8 million was paid in cash to holders of common stock and $0.4 million represents dividend equivalents accrued on unvested RSUs and PSUs. Dividend equivalents on unvested awards are not paid in cash at this time and will be paid only if and when the underlying awards vest, consistent with the terms described in Note 7 to the condensed consolidated financial statements included in Part I, Item 1 of this Quarterly Report. We funded the cash dividend payment to holders of our common stock from cash on hand and cash generated from operations. The declaration and payment of any future dividends will be at the discretion of our Board of Directors and will be subject to the restrictions described under “Sources and Uses of Funds” above and in Note 13 to the condensed consolidated financial statements included in Part I, Item 1 of this Quarterly Report.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Credit Agreements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the ability to access additional capital through multiple credit agreements.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December 2021, we entered into a credit agreement with U.S. Bank National Association (the “2021 Credit Agreement”) which provided a revolving credit facility of up to $100 million through December 8, 2026. In January 2026, we entered into a new credit agreement (the “2026 Credit Agreement”) that replaced the 2021 Credit Agreement.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2026 Credit Agreement provides for unsecured credit facilities totaling $450 million, comprised of a $150 million revolving facility (the “Revolving Facility”) and a $300 million term loan (the “Term Loan”), each maturing on January 27, 2031. Borrowings under the 2026 Credit Agreement bear interest at variable rates based on Term Secured Overnight Financing Rate (“SOFR”) or an alternate base rate, plus an applicable margin determined by our debt-to-capital ratio (as defined in the 2026 Credit Agreement). In addition to interest on funds borrowed, we must pay an unused line fee of up to 0.25%, determined by our debt-to-capital ratio (as defined in the 2026 Credit Agreement), on any amounts not borrowed. The Term Loan amortizes quarterly, and borrowings may be prepaid without premium. Obligations under the 2026 Credit Agreement are guaranteed by certain of our domestic subsidiaries and are unsecured, subject to a negative pledge. Proceeds from the 2026 Credit Agreement may be used for general corporate purposes, including permitted acquisitions and the refinancing of existing indebtedness.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$4.1 million of the borrowing capacity of the Revolving Facility is pledged as collateral in support of a reinsurance arrangement and not able to be utilized.</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we had $294.0 million outstanding on the Term Loan, net of unamortized debt issuance costs, and were in compliance with all covenants under the 2026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we had no borrowings outstanding through the 2021 Credit Agreement and the Revolving Facility.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September 30, 2026, we had $21.0 million outstanding through the FHLB line of credit at the overnight rate of 4.36%.</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Stockholders</w:t>
      </w:r>
      <w:r>
        <w:rPr>
          <w:rFonts w:ascii="Times New Roman" w:hAnsi="Times New Roman"/>
          <w:color w:val="000000"/>
          <w:sz w:val="20"/>
        </w:rPr>
        <w:t xml:space="preserve">’ </w:t>
      </w:r>
      <w:r>
        <w:rPr>
          <w:rFonts w:ascii="Times New Roman" w:hAnsi="Times New Roman"/>
          <w:b/>
          <w:i/>
          <w:color w:val="000000"/>
          <w:sz w:val="20"/>
        </w:rPr>
        <w:t>Equity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At September 30, 2026 total stockholders’ equity was $985.0 million and tangible stockholders’ equity was $756.5 million, compared to total stockholders’ equity of $942.7 million and tangible stockholders’ equity of $881.6 million as of December 31, 2025. Stockholders’ equity increased due to net income earned for the period and activity related to stock-based compensation, partially offset by net unrealized losses on available-for-sale fixed maturity securities, share repurchases, and dividends declared.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Tangible stockholders’ equity is a non</w:t>
        <w:noBreakHyphen/>
        <w:t>GAAP financial measure. See “Reconciliation of Non</w:t>
        <w:noBreakHyphen/>
        <w:t>GAAP Financial Measures” for a reconciliation of stockholders’ equity in accordance with GAAP to tangible stockholders’ equity.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Investment Portfolio</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Investment Committee reviews and recommends investment guidelines, which are subject to approval by our Board of Directors in accordance with applicable regulatory restrictions on asset type, quality and concentration. Our current investment guidelines allow us to invest in taxable and tax</w:t>
        <w:noBreakHyphen/>
        <w:t>exempt fixed maturities, as well as publicly traded mutual funds and common stock of individual companies. Our cash and invested assets consist of cash and cash equivalents, fixed maturity securities, equity securities, and other investments. As of September 30, 2026, the majority of our investment portfolio, or $1.6 billion, was comprised of fixed maturity securities that are classified as available</w:t>
        <w:noBreakHyphen/>
        <w:t>for</w:t>
        <w:noBreakHyphen/>
        <w:t>sale and carried at fair value with unrealized gains and losses on these securities, net of applicable taxes, reported as a separate component of accumulated other comprehensive income. Also included in our investment portfolio were $123.7 million of equity securities, $45.2 million of investments in limited partnerships, $8.7 million of livestock put options, and $14.7 million of a senior surplus note classified as held-to-maturity and carried at amortized cost. In addition, we maintained a non</w:t>
        <w:noBreakHyphen/>
        <w:t>restricted cash and cash equivalent balance of $55.6 million at September 30, 2026. Our available-for-sale fixed maturity securities, including cash equivalents, had a weighted average effective duration of 4.61 and 3.81 years as of September 30, 2026 and December 31, 2025, respectively, and an average rating of “A1/A+” at both dates. Our available-for-sale fixed income investment portfolio had a book yield of 5.06% as of September 30, 2026, compared to 4.83% as of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At September 30, 2026 and December 31, 2025 the amortized cost and fair value on available</w:t>
        <w:noBreakHyphen/>
        <w:t>for</w:t>
        <w:noBreakHyphen/>
        <w:t>sale securities were as follows:</w:t>
      </w:r>
    </w:p>
    <w:p>
      <w:pPr>
        <w:pStyle w:val="TextBody"/>
        <w:bidi w:val="0"/>
        <w:spacing w:lineRule="auto" w:line="273"/>
        <w:jc w:val="left"/>
      </w:pPr>
      <w:r>
        <w:t> </w:t>
      </w:r>
    </w:p>
    <w:tbl>
      <w:tblPr>
        <w:tblW w:w="9746" w:type="dxa"/>
        <w:jc w:val="left"/>
        <w:tblInd w:w="0" w:type="dxa"/>
        <w:tblLayout w:type="fixed"/>
        <w:tblCellMar>
          <w:top w:w="28" w:type="dxa"/>
          <w:left w:w="28" w:type="dxa"/>
          <w:bottom w:w="28" w:type="dxa"/>
          <w:right w:w="28" w:type="dxa"/>
        </w:tblCellMar>
      </w:tblPr>
      <w:tblGrid>
        <w:gridCol w:w="5196"/>
        <w:gridCol w:w="146"/>
        <w:gridCol w:w="211"/>
        <w:gridCol w:w="931"/>
        <w:gridCol w:w="146"/>
        <w:gridCol w:w="146"/>
        <w:gridCol w:w="211"/>
        <w:gridCol w:w="931"/>
        <w:gridCol w:w="146"/>
        <w:gridCol w:w="146"/>
        <w:gridCol w:w="207"/>
        <w:gridCol w:w="813"/>
        <w:gridCol w:w="516"/>
      </w:tblGrid>
      <w:t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5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888"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31,933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31,366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15,923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834,795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788,704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50.4</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745,975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712,514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1,650,443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1,565,619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tbl>
      <w:tblPr>
        <w:tblW w:w="9746" w:type="dxa"/>
        <w:jc w:val="left"/>
        <w:tblInd w:w="0" w:type="dxa"/>
        <w:tblLayout w:type="fixed"/>
        <w:tblCellMar>
          <w:top w:w="28" w:type="dxa"/>
          <w:left w:w="28" w:type="dxa"/>
          <w:bottom w:w="28" w:type="dxa"/>
          <w:right w:w="28" w:type="dxa"/>
        </w:tblCellMar>
      </w:tblPr>
      <w:tblGrid>
        <w:gridCol w:w="5196"/>
        <w:gridCol w:w="146"/>
        <w:gridCol w:w="211"/>
        <w:gridCol w:w="931"/>
        <w:gridCol w:w="146"/>
        <w:gridCol w:w="146"/>
        <w:gridCol w:w="211"/>
        <w:gridCol w:w="931"/>
        <w:gridCol w:w="146"/>
        <w:gridCol w:w="146"/>
        <w:gridCol w:w="207"/>
        <w:gridCol w:w="813"/>
        <w:gridCol w:w="516"/>
      </w:tblGrid>
      <w:t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5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 or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888"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Fixed maturities: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02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pPr>
            <w:r>
              <w:t> </w:t>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23,716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23,587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States, Territories, and Political Subdivisions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18,862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Special revenue excluding 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17,465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606,748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608,235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49.7</w:t>
            </w:r>
          </w:p>
        </w:tc>
        <w:tc>
          <w:tcPr>
            <w:tcW w:w="5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51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Mortgage/asset-backed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558,116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5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1,227,605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following tables provide the credit quality of our available-for-sale fixed maturity securities as of September 30, 2026 and December 31, 2025:</w:t>
      </w:r>
    </w:p>
    <w:p>
      <w:pPr>
        <w:pStyle w:val="TextBody"/>
        <w:bidi w:val="0"/>
        <w:spacing w:lineRule="auto" w:line="273"/>
        <w:jc w:val="left"/>
      </w:pPr>
      <w:r>
        <w:t> </w:t>
      </w:r>
    </w:p>
    <w:tbl>
      <w:tblPr>
        <w:tblW w:w="4399" w:type="dxa"/>
        <w:jc w:val="left"/>
        <w:tblInd w:w="0" w:type="dxa"/>
        <w:tblLayout w:type="fixed"/>
        <w:tblCellMar>
          <w:top w:w="28" w:type="dxa"/>
          <w:left w:w="28" w:type="dxa"/>
          <w:bottom w:w="28" w:type="dxa"/>
          <w:right w:w="28" w:type="dxa"/>
        </w:tblCellMar>
      </w:tblPr>
      <w:tblGrid>
        <w:gridCol w:w="1786"/>
        <w:gridCol w:w="146"/>
        <w:gridCol w:w="211"/>
        <w:gridCol w:w="931"/>
        <w:gridCol w:w="146"/>
        <w:gridCol w:w="146"/>
        <w:gridCol w:w="146"/>
        <w:gridCol w:w="571"/>
        <w:gridCol w:w="316"/>
      </w:tblGrid>
      <w:t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7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7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78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Rating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1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172,181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546,048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434,044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366,082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1,565,619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pPr>
            <w: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pPr>
            <w: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pPr>
            <w: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tbl>
      <w:tblPr>
        <w:tblW w:w="4354" w:type="dxa"/>
        <w:jc w:val="left"/>
        <w:tblInd w:w="0" w:type="dxa"/>
        <w:tblLayout w:type="fixed"/>
        <w:tblCellMar>
          <w:top w:w="28" w:type="dxa"/>
          <w:left w:w="28" w:type="dxa"/>
          <w:bottom w:w="28" w:type="dxa"/>
          <w:right w:w="28" w:type="dxa"/>
        </w:tblCellMar>
      </w:tblPr>
      <w:tblGrid>
        <w:gridCol w:w="1741"/>
        <w:gridCol w:w="146"/>
        <w:gridCol w:w="211"/>
        <w:gridCol w:w="931"/>
        <w:gridCol w:w="146"/>
        <w:gridCol w:w="146"/>
        <w:gridCol w:w="146"/>
        <w:gridCol w:w="571"/>
        <w:gridCol w:w="316"/>
      </w:tblGrid>
      <w:t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5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Rating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71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r>
      <w:t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143,223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411,484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33.6</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318,324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297,191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48,471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3,993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CCC &amp; Below</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1,224,187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The amortized cost and fair value of our available</w:t>
        <w:noBreakHyphen/>
        <w:t>for</w:t>
        <w:noBreakHyphen/>
        <w:t>sale investments in fixed maturity securities summarized by contractual maturity as of September 30, 2026 were as follows:</w:t>
      </w:r>
    </w:p>
    <w:p>
      <w:pPr>
        <w:pStyle w:val="TextBody"/>
        <w:bidi w:val="0"/>
        <w:spacing w:lineRule="auto" w:line="273"/>
        <w:jc w:val="left"/>
      </w:pPr>
      <w:r>
        <w:t> </w:t>
      </w:r>
    </w:p>
    <w:tbl>
      <w:tblPr>
        <w:tblW w:w="7501" w:type="dxa"/>
        <w:jc w:val="left"/>
        <w:tblInd w:w="0" w:type="dxa"/>
        <w:tblLayout w:type="fixed"/>
        <w:tblCellMar>
          <w:top w:w="28" w:type="dxa"/>
          <w:left w:w="28" w:type="dxa"/>
          <w:bottom w:w="28" w:type="dxa"/>
          <w:right w:w="28" w:type="dxa"/>
        </w:tblCellMar>
      </w:tblPr>
      <w:tblGrid>
        <w:gridCol w:w="3151"/>
        <w:gridCol w:w="146"/>
        <w:gridCol w:w="211"/>
        <w:gridCol w:w="931"/>
        <w:gridCol w:w="146"/>
        <w:gridCol w:w="146"/>
        <w:gridCol w:w="211"/>
        <w:gridCol w:w="931"/>
        <w:gridCol w:w="146"/>
        <w:gridCol w:w="146"/>
        <w:gridCol w:w="207"/>
        <w:gridCol w:w="813"/>
        <w:gridCol w:w="316"/>
      </w:tblGrid>
      <w:t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Amortized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of Total</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Fair Value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888" w:type="dxa"/>
            <w:gridSpan w:val="10"/>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56,013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55,930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295,592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285,306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342,520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323,763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Due after ten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210,343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188,106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pPr>
            <w:r>
              <w:t> </w:t>
            </w:r>
          </w:p>
        </w:tc>
        <w:tc>
          <w:tcPr>
            <w:tcW w:w="207"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15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Mortgage and asset-backed securities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745,975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712,514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c>
          <w:tcPr>
            <w:tcW w:w="315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1,650,443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1,565,619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pPr>
            <w: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Expected maturities may differ from contractual maturities because borrowers may have the right to call or prepay obligations.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Reinsurance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third-party reinsurance or otherwise expand our catastrophe coverage in amounts we desire or on terms that are commercially acceptable and adequately protect us, including due to volatility in reinsurance market conditions, and this inability may materially adversely affect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addition to reinsurance from traditional reinsurers, we utilize collateralized protection via catastrophe bonds. We currently have $1.2 billion of multi-year indemnity-based reinsurance coverage for catastrophe events, all issued through Torrey Pines Re Ltd., a Bermuda-domiciled special purpose insurer.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catastrophe event retention is $20 million for earthquake events and $11 million for hurricane events and all other perils. Laulima maintains Hawaii hurricane reinsurance coverage through a standalone XOL treaty, which provides per-occurrence coverage up to $865 million with a retention of $1.5 million. Our reinsurance coverage exhausts at $3.9 billion for earthquake events and $135 million for continental U.S. hurricane events, providing coverage in excess of our 1 in 250-year peak zone PML and in excess of our A.M. Best requirement. In addition, we maintain reinsurance coverage equivalent to or better than the 1 in 250-year PML for our other lines.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2025 Annual Report on Form 10-K. In addition to those policies, during the current period the Company applied significant judgment in connection with the acquisition of Gray Surety, particularly with respect to the preliminary purchase price allocation, including the estimation of the fair value of acquired assets and assumed liabilities (such as intangible assets and reserves). These estimates remain subject to refinement as additional information becomes available during the measurement period.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than as described above, our critical accounting policies and estimates remain consistent with those disclosed in Management’s Discussion and Analysis of Financial Condition and Results of Operations included in our 2025 Annual Report on Form 10-K.</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sz w:val="20"/>
        </w:rPr>
      </w:pPr>
      <w:bookmarkStart w:id="11" w:name="item_3_quantitative_and_qualitative"/>
      <w:bookmarkEnd w:id="1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Quantitative and Qualitative Disclosures About Market Risk</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 as well as limited exposure from livestock put options used in our economic hedging strategy and recorded in Other 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also exposed to interest rate risk associated with our variable-rate Term Loan. A hypothetical 100-basis-point increase in interest rates would increase annual interest expense on the $296.3 million of principal outstanding under our Term Loan as of September 30, 2026, by approximately $3.0 million.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available-for-sale fixed maturity portfolio has an average rating by at least one nationally recognized rating organization of “A1/A+,” with approximately 73.6% rated “A−” or better. At September 30, 2026, 3.0% of our available-for-sale fixed maturity portfolio was unrated or rated below investment grade. In addition, we hold a senior surplus note with a carrying amount of $14.7 million (principal amount of $15.0 million) issued by a Florida-domiciled insurer. The note is classified as held-to-maturity, is not rated by a nationally recognized rating organization, and is not actively traded. Payments of principal and interest on the note are subject to prior approval by the Florida Office of Insurance Regulation and may be deferred, and the note ranks junior to policyholder and other creditor claims. See Note 2 to the condensed consolidated financial statements. Our fixed maturity portfolio includes some securities issued with financial guaranty insurance. We purchase fixed maturities based on our assessment of the credit quality of the underlying assets without regard to insurance.</w:t>
      </w:r>
    </w:p>
    <w:p>
      <w:pPr>
        <w:pStyle w:val="TextBody"/>
        <w:bidi w:val="0"/>
        <w:spacing w:lineRule="auto" w:line="273" w:before="200" w:after="283"/>
        <w:jc w:val="left"/>
        <w:rPr>
          <w:rFonts w:ascii="Times New Roman" w:hAnsi="Times New Roman"/>
          <w:sz w:val="20"/>
        </w:rPr>
      </w:pPr>
      <w:bookmarkStart w:id="12" w:name="item_4_controls_and_procedures"/>
      <w:bookmarkEnd w:id="1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of the end of the period covered by this Quarterly Report on Form 10</w:t>
        <w:noBreakHyphen/>
        <w:t>Q, we carried out an evaluation, under the supervision and with the participation of our management, including our CEO and CFO, of the effectiveness of the design and operation of our disclosure controls and procedures defined under Rules 13a</w:t>
        <w:noBreakHyphen/>
        <w:t>15(e) and 15d</w:t>
        <w:noBreakHyphen/>
        <w:t>15(e) under the Exchange Act. Based upon this evaluation, our CEO and CFO concluded that our disclosure controls and procedures were effective.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On January 31, 2026, we completed the acquisition of Gray Surety (subsequently renamed PCSC). As permitted by SEC staff guidance, we expect to exclude PCSC from management’s annual assessment of internal control over financial reporting as of December 31, 2026. We are in the process of integrating PCSC into our internal control over financial reporting. Notwithstanding this exclusion, the financial results of the acquired entity are subject to our existing controls over significant financial reporting processes, including consolidation and financial close activities.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 other changes in our internal control over financial reporting (as defined in Rules 13a</w:t>
        <w:noBreakHyphen/>
        <w:t>15(f) and 15d</w:t>
        <w:noBreakHyphen/>
        <w:t>15(f) under the Exchange Act) occurred during the quarter ended September 30, 2026 that have materially affected, or are reasonably likely to materially affect, our internal control over financial reporting.</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sz w:val="20"/>
        </w:rPr>
      </w:pPr>
      <w:bookmarkStart w:id="13" w:name="partii"/>
      <w:bookmarkEnd w:id="1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 OTHER I</w:t>
      </w:r>
      <w:bookmarkStart w:id="14" w:name="part_ii_other_information"/>
      <w:bookmarkEnd w:id="14"/>
      <w:r>
        <w:rPr>
          <w:rFonts w:ascii="Times New Roman" w:hAnsi="Times New Roman"/>
          <w:b/>
          <w:color w:val="000000"/>
          <w:sz w:val="20"/>
        </w:rPr>
        <w:t>NFORMATION</w:t>
      </w:r>
    </w:p>
    <w:p>
      <w:pPr>
        <w:pStyle w:val="TextBody"/>
        <w:bidi w:val="0"/>
        <w:spacing w:lineRule="auto" w:line="273" w:before="200" w:after="283"/>
        <w:jc w:val="left"/>
        <w:rPr>
          <w:rFonts w:ascii="Times New Roman" w:hAnsi="Times New Roman"/>
          <w:sz w:val="20"/>
        </w:rPr>
      </w:pPr>
      <w:bookmarkStart w:id="15" w:name="legal"/>
      <w:bookmarkEnd w:id="15"/>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Lega</w:t>
      </w:r>
      <w:bookmarkStart w:id="16" w:name="item_1_legal_proceedings"/>
      <w:bookmarkEnd w:id="16"/>
      <w:r>
        <w:rPr>
          <w:rFonts w:ascii="Times New Roman" w:hAnsi="Times New Roman"/>
          <w:b/>
          <w:color w:val="000000"/>
          <w:sz w:val="20"/>
        </w:rPr>
        <w:t>l Proceedings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party to legal proceedings which arise in the ordinary course of business. We believe that the outcome of such matters, individually and in the aggregate, will not have a material adverse effect on our consolidated financial position, results of operations, or cash flows.</w:t>
      </w:r>
    </w:p>
    <w:p>
      <w:pPr>
        <w:pStyle w:val="TextBody"/>
        <w:bidi w:val="0"/>
        <w:spacing w:lineRule="auto" w:line="273" w:before="200" w:after="283"/>
        <w:jc w:val="left"/>
        <w:rPr>
          <w:rFonts w:ascii="Times New Roman" w:hAnsi="Times New Roman"/>
          <w:sz w:val="20"/>
        </w:rPr>
      </w:pPr>
      <w:bookmarkStart w:id="17" w:name="item1a"/>
      <w:bookmarkEnd w:id="17"/>
      <w:r>
        <w:rPr>
          <w:rFonts w:ascii="Times New Roman" w:hAnsi="Times New Roman"/>
          <w:b/>
          <w:color w:val="000000"/>
          <w:sz w:val="20"/>
        </w:rPr>
        <w:t>Item 1A. Risk F</w:t>
      </w:r>
      <w:bookmarkStart w:id="18" w:name="item_1a_risk_factors"/>
      <w:bookmarkEnd w:id="18"/>
      <w:r>
        <w:rPr>
          <w:rFonts w:ascii="Times New Roman" w:hAnsi="Times New Roman"/>
          <w:b/>
          <w:color w:val="000000"/>
          <w:sz w:val="20"/>
        </w:rPr>
        <w:t>actors</w:t>
      </w:r>
    </w:p>
    <w:p>
      <w:pPr>
        <w:pStyle w:val="TextBody"/>
        <w:bidi w:val="0"/>
        <w:spacing w:lineRule="auto" w:line="273" w:before="20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is subject to numerous risks and uncertainties. These risks include, but are not limited to, the following:</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Our Business and Industry: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Claims arising from unpredictable and severe catastrophe events, including those caused by global climate change, could reduce or eliminate our earnings and stockholders’ equity, particularly if such events occur with greater frequency or severity than historical experience, and could limit our ability to underwrite new insurance policies;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reinsurers may not pay claims on a timely basis, or at all, which may materially adversely affect our business, financial condition, and results of operations;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loss reserves are established based on estimates and assumptions, which may be inadequate to cover actual incurred losses, including as a result of changes in claims severity, litigation trends, or other loss development, which could have a material adverse impact on our results of operations and financial condition;</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be unable to purchase third-party reinsurance or otherwise expand our catastrophe coverage in amounts we desire or on terms that are commercially acceptable and adequately protect us, including due to volatility in reinsurance market conditions, and this inability may materially adversely affect our business, financial condition and results of operations;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risk management and loss limitation methods, including estimates and models, which rely on assumptions and historical data, may fail to adequately manage our exposure to losses from catastrophe events or other underwriting risks, and our losses could be materially higher than our expectations;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significant portion of our business is generated in California, and as a result, we are more significantly exposed to California loss activity and regulatory environments, including regulatory constraints on pricing, underwriting actions, and the timing or approval of rate changes;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rely on a select group of brokers and program administrators, and such relationships may not continue or may not perform as expected;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There is intense competition for business in our industry, which may result in pricing pressure, reduced underwriting margins, or changes in market share;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Volatility in crop prices, as a result of weather conditions or other events, could adversely impact the performance of our crop insurance business and our results of operations;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the Economic Environment:</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Adverse economic factors, including recession, inflation, periods of high unemployment or lower economic activity could affect insurance demand, loss activity, investment returns, and our growth and profitability;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Changes in global trade policies, including the imposition of tariffs, along with broader economic uncertainty, could contribute to financial market volatility, interest rate fluctuations, and disruptions to the sectors we insure;</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Technology: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failure or disruption of our information technology and telecommunications systems could adversely affect our business;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Security breaches or cyber-attacks could expose us to liability and damage our reputation and business;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 growth and evolution of artificial intelligence (AI) will impact our business and operations; </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Laws and Regulations: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subject to extensive regulation, which may adversely affect our ability to achieve our business objectives;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Unexpected changes in the interpretation of our coverage or provisions, including loss limitations and exclusions, in our policies could have a material adverse effect on our financial condition or results of operations;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incur significant costs as a result of operating as a public company, and our management is required to devote substantial time to complying with public company regulations; and</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Risks Related to Ownership of our Common Stock:</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operating results and stock price may be volatile, or may decline regardless of our operating performance, and holders of our common stock could lose all or part of their investment.</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Claims arising from unpredictable and severe catastrophe events, including those caused by global climate change, could reduce or eliminate our earnings and stockholders</w:t>
      </w:r>
      <w:r>
        <w:rPr>
          <w:rFonts w:ascii="Times New Roman" w:hAnsi="Times New Roman"/>
          <w:color w:val="000000"/>
          <w:sz w:val="20"/>
        </w:rPr>
        <w:t xml:space="preserve">’ </w:t>
      </w:r>
      <w:r>
        <w:rPr>
          <w:rFonts w:ascii="Times New Roman" w:hAnsi="Times New Roman"/>
          <w:b/>
          <w:i/>
          <w:color w:val="000000"/>
          <w:sz w:val="20"/>
        </w:rPr>
        <w:t>equity, particularly if such events occur with greater frequency or severity than historical experience, and could limit our ability to underwrite new insurance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insurance operations expose us to claims arising from unpredictable catastrophe events, such as earthquakes, hurricanes, droughts, windstorms, floods, wildfires,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contribute to increased frequency, severity or geographic concentration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These events could impact our business even where we do not have insured exposure, such as the 2025 California wildfires, as homes and businesses lost due to such events may cancel or not renew their policies with us. Additionally, any increased frequency and severity of such weather events, including hurricanes, could materially impair our ability to accurately predict, quantify, reinsure and manage catastrophe risk and may materially increase our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reinsurance coverage currently exhausts at $3.9 billion for earthquake events and $135 million for continental U.S. hurricane events, with coverage in excess of our estimated peak zone 1 in 250 year PML event and in excess of our A.M. Best threshold. Laulima maintains Hawaii hurricane reinsurance coverage through a standalone XOL treaty, which provides per-occurrence coverage up to $865 million with a retention of $1.5 million. Our catastrophe event retention is currently $20 million for earthquake events and $11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increase retentions or reduce available limits,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reinsurers may not pay claims on a timely basis, or at all, which may materially adversely affect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ability to grow our business is dependent in part on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such claims.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subject to uncertain outcomes.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w:t>
      </w:r>
    </w:p>
    <w:p>
      <w:pPr>
        <w:pStyle w:val="TextBody"/>
        <w:bidi w:val="0"/>
        <w:spacing w:lineRule="auto" w:line="268" w:before="200" w:after="283"/>
        <w:jc w:val="left"/>
        <w:rPr>
          <w:rFonts w:ascii="Times New Roman" w:hAnsi="Times New Roman"/>
          <w:sz w:val="20"/>
        </w:rPr>
      </w:pPr>
      <w:r>
        <w:rPr>
          <w:rFonts w:ascii="Times New Roman" w:hAnsi="Times New Roman"/>
          <w:b/>
          <w:i/>
          <w:color w:val="000000"/>
          <w:sz w:val="20"/>
        </w:rPr>
        <w:t>Our loss reserves are established based on estimates and assumptions, which may be inadequate to cover actual incurred losses</w:t>
      </w:r>
      <w:r>
        <w:rPr>
          <w:rFonts w:ascii="Times New Roman" w:hAnsi="Times New Roman"/>
          <w:color w:val="000000"/>
          <w:sz w:val="20"/>
        </w:rPr>
        <w:t xml:space="preserve">, </w:t>
      </w:r>
      <w:r>
        <w:rPr>
          <w:rFonts w:ascii="Times New Roman" w:hAnsi="Times New Roman"/>
          <w:b/>
          <w:i/>
          <w:color w:val="000000"/>
          <w:sz w:val="20"/>
        </w:rPr>
        <w:t>including as a result of changes in claims severity, litigation trends, or other loss development, and could have a material adverse impact on our results of operations and financial condition.</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and industry loss experience, and changes in market conditions, policy forms, exclusions, and exposures.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there may be significant reporting lags between the occurrence of an insured event and the time it is actually reported to us and additional lags between the time of reporting and final settlement of any claims. Consequently, estimates of loss associated with specified claims can increase as new information emerges, which could cause the reserves for such claims to become inadequate.</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Our reserves are impacted by several important factors, such as: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Litigation, judicial and regulatory trends, such as increased litigation, higher jury awards, class action lawsuits, multi-district litigation, and evolving legal theories that may increase claim duration, defense costs and settlement values;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claims development patterns by line of business;</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legislative activity;</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social and economic patterns; and</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claims inflation assumptions, such as increased costs of raw materials, labor, and other components of claims cost.</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Our reserve estimates reflect current inflation in legal claims’ settlements and assume we will not be subject to losses from significant new legal liability theories. Our reserve estimates are based on current regulatory and legislative environments and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Expansion into new products, acquired businesses and lines of business may result in more limited historical claims experience for certain exposures, increasing uncertainty in estimating ultimate losses and loss adjustment expenses.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For further information on our loss reserving methodology, see “Management’s Discussion and Analysis-Critical Accounting Policies and Estimates- Reserve for Losses and Loss Adjustment Expenses” in our 2025 Annual Report on Form 10-K.</w:t>
      </w:r>
    </w:p>
    <w:p>
      <w:pPr>
        <w:pStyle w:val="TextBody"/>
        <w:bidi w:val="0"/>
        <w:spacing w:lineRule="auto" w:line="268" w:before="200" w:after="283"/>
        <w:jc w:val="left"/>
        <w:rPr>
          <w:rFonts w:ascii="Times New Roman" w:hAnsi="Times New Roman"/>
          <w:b/>
          <w:i/>
          <w:color w:val="000000"/>
          <w:sz w:val="20"/>
        </w:rPr>
      </w:pPr>
      <w:r>
        <w:rPr>
          <w:rFonts w:ascii="Times New Roman" w:hAnsi="Times New Roman"/>
          <w:b/>
          <w:i/>
          <w:color w:val="000000"/>
          <w:sz w:val="20"/>
        </w:rPr>
        <w:t>We may be unable to purchase third-party reinsurance or otherwise expand our catastrophe coverage in amounts we desire or on terms that are commercially acceptable and adequately protect us, including due to volatility in reinsurance market conditions, and this inability may materially adversely affect our business, financial condition and results of operations.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We buy multiple types of reinsurance including treaty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pStyle w:val="TextBody"/>
        <w:bidi w:val="0"/>
        <w:spacing w:lineRule="auto" w:line="268" w:before="200" w:after="283"/>
        <w:jc w:val="left"/>
        <w:rPr>
          <w:rFonts w:ascii="Times New Roman" w:hAnsi="Times New Roman"/>
          <w:color w:val="000000"/>
          <w:sz w:val="20"/>
        </w:rPr>
      </w:pPr>
      <w:r>
        <w:rPr>
          <w:rFonts w:ascii="Times New Roman" w:hAnsi="Times New Roman"/>
          <w:color w:val="000000"/>
          <w:sz w:val="20"/>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In addition to reinsurance purchased from traditional reinsurers, we utilize collateralized protection from the insurance-linked securities market through catastrophe bonds issued via Torrey Pines Re Ltd., a Bermuda-domiciled special purpose insurer. We closed a $360 million catastrophe bond in the second quarter of 2026, effective June 1, 2026 through June 1, 2029; a $525 million catastrophe bond in the second quarter of 2025, effective June 1, 2025 through June 1, 2028; a $420 million catastrophe bond in the second quarter of 2024, effective June 1, 2024 through June 1, 2027; and a $200 million catastrophe bond in the second quarter of 2023, effective June 1, 2023 through June 1, 2026. These catastrophe bonds provide indemnity-based reinsurance coverage for catastrophe events.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We may seek similar catastrophe bond offerings in the future. However, there can be no assurance that we will be able to complete such offerings on acceptable terms, if at all.</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If we are unable to renew our expiring reinsurance contracts on acceptable terms or expand our reinsurance coverage through traditional reinsurers, catastrophe bonds, or alternative risk transfer arrangements,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In addition, as we grow our written premiums and enter new lines of business we will seek new types of reinsurance and will need to purchase reinsurance on commercially acceptable terms to manage the risks associated with entering new lines of business. The inability to purchase appropriate reinsurance for new lines of business could negatively impact our ability to grow our written premiums and maintain our desired level of profitability.</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Many reinsurance companies have increasingly excluded certain coverages from, or altered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pStyle w:val="TextBody"/>
        <w:bidi w:val="0"/>
        <w:spacing w:lineRule="auto" w:line="266" w:before="200" w:after="283"/>
        <w:jc w:val="left"/>
        <w:rPr>
          <w:rFonts w:ascii="Times New Roman" w:hAnsi="Times New Roman"/>
          <w:b/>
          <w:i/>
          <w:color w:val="000000"/>
          <w:sz w:val="20"/>
        </w:rPr>
      </w:pPr>
      <w:r>
        <w:rPr>
          <w:rFonts w:ascii="Times New Roman" w:hAnsi="Times New Roman"/>
          <w:b/>
          <w:i/>
          <w:color w:val="000000"/>
          <w:sz w:val="20"/>
        </w:rPr>
        <w:t>We utilize several risk management and loss limitation methods, including reliance on estimates and models. If these methods fail to adequately manage our exposure to losses from catastrophe events and other underwriting risks, our losses could be materially higher than our expectations, and our business, financial condition, and results of operations could be materially adversely affected.</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 xml:space="preserve">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several methods designed to minimize risk, including underwriting specialization, modeling and data systems, data quality control, strategic use of policy deductibles, regular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review of aggregate exposure and probable maximum loss reports, which report the maximum amount of expected losses based on computer or actuarial modeling techniques. These methods rely on estimates, models, data, and scenarios that may not accurately predict actual outcomes. Consequently, we could incur losses both in the risks we underwrite and to the value of our investment portfolio due to the overall impact on financial markets from the occurrence of catastrophe events.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pStyle w:val="TextBody"/>
        <w:bidi w:val="0"/>
        <w:spacing w:lineRule="auto" w:line="266" w:before="200" w:after="283"/>
        <w:jc w:val="left"/>
        <w:rPr>
          <w:rFonts w:ascii="Times New Roman" w:hAnsi="Times New Roman"/>
          <w:color w:val="000000"/>
          <w:sz w:val="20"/>
        </w:rPr>
      </w:pPr>
      <w:r>
        <w:rPr>
          <w:rFonts w:ascii="Times New Roman" w:hAnsi="Times New Roman"/>
          <w:color w:val="000000"/>
          <w:sz w:val="20"/>
        </w:rPr>
        <w:t>We run many model simulations to evaluate the impact of these assumptions on a catastrophe’s loss potential. Furthermore, there are risks associated with catastrophe events, which are either poorly represented or not represented at all by catastrophe models. Climate change, evolving catastrophe patterns, and the emergence of secondary perils such as severe inland flooding, wildfires, and convective storms may further increase both the frequency and severity of catastrophe events. Limited historical data for certain perils, along with changes in climate and loss patterns, may reduce the reliability of catastrophe models and stress the assumptions on which we rely to price risk, manage exposures, and purchase reinsurance. Changing catastrophe patterns may also reduce the predictive value of historical loss experience used to develop catastrophe models, which could impair our ability to price business, estimate probable maximum losses, and structure our reinsurance program. Each modeling assumption or un-modeled risk introduces uncertainty into probable maximum loss estimates that management must consider. These uncertainties can include, but are not limited to, the following:</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do not address all the possible hazard characteristics of a catastrophe peril (e.g., the precise path and wind speed of a hurricane);</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reflect the true frequency or severity of events;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reflect a risk’s vulnerability or susceptibility to damage for a given event characteristic;</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account for unusual or unprecedented catastrophe events;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adequately consider the impact of inflation on the magnitude of modeled losses;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represent loss potential to insurance or reinsurance contract coverage limits, terms and conditions;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models may not accurately reflect the impact on the economy of the area affected or the financial, judicial, political, or regulatory impacts on insurance claim payments during or following a catastrophe event.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result, our reliance on assumptions, data, and models to evaluate our entire risk portfolio and specifically to estimate a probable maximum loss is subject to a high degree of uncertainty that could result in actual losses that are materially different from our probable maximum loss estimates, which could adversely impact our financial results.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 decline in our financial strength rating may adversely affect the amount of business we write and impact compliance with our debt covenants.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Participants in the insurance industry use ratings from independent ratings agencies, such as A.M. Best, as an important means of assessing the financial strength and creditworthiness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September 30, 2026, A.M. Best has assigned a financial strength rating of “A” (Excellent) (Outlook Stable) to our insurance company subsidiaries, Palomar Specialty Insurance Company (“PSIC”), Palomar Excess and Surplus Insurance Company (“PESIC”), First Indemnity of America Insurance Co. (“FIA”), and Palomar Specialty Reinsurance Company Bermuda Ltd. (“PSRE”), and “A-” (Excellent) (Outlook Positive) to Palomar Casualty and Surety Company (“PCSC”).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A.M. Best assigns ratings that are intended to provide an independent opinion of an insurance company’s ability to meet its obligations to policyholders and such ratings are not evaluations directed to investors and are not a recommendation to buy, sell or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change our business practices from our organizational business plan in a manner that no longer supports A.M. Best’s rating;</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unfavorable financial, regulatory or market trends affect us, including excess market capacity;</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our losses exceed our loss reserves;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have unresolved issues with government regulators;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are unable to retain our senior management or other key personnel;</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our investment portfolio incurs significant losses; or</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A.M. Best alters its capital adequacy assessment methodology in a manner that would adversely affect our rating.</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and other factors could result in a downgrade of our financial strength rating. A downgrade or withdrawal of our rating could result in any of the following consequences, among others: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Causing our current and future distribution partners and insureds to choose other, more highly-rated competitors;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Increasing the cost or reducing the availability of reinsurance to us;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Severely limiting or preventing us from writing new and renewal insurance contracts; or</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Causing us to be out of compliance with the financial covenants in the 2026 Credit Agreement.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in view of the earnings and capital pressures experienced by many financial institutions, including insurance companies, it is possible that rating organizations will heighten the level of scrutiny that they apply to such institutions, increase the frequency and scope of their credit reviews, request additional information, or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and our customers could be negatively and adversely impacted by pandemics, disease outbreaks and other public health crises.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extent of the impact of a pandemic, disease outbreak or other public health crisis on our operational and financial performance depends on several factors, including the ultimate duration and severity of the event, the emergence of new or evolving health threats, actions taken and restrictions imposed by government and health officials, the effectiveness and adoption of vaccines and therapeutics, the ability of our customers to continue to pay premiums, contraction of the insurance and reinsurance markets, and the ability of reinsurers to satisfy claims. These factors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Global health crises have historically contributed to financial market volatility, supply chain disruptions, price inflation, and material and labor shortages, all of which may negatively impact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 significant portion of our business is generated in California, and as a result, we are more significantly exposed to California loss activity and regulatory environments, including regulatory constraints on pricing, underwriting actions, and the timing or approval of rate changes.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policyholders and insurance risks are currently concentrated in California, which generated 30.9% of our gross written premiums for the year ended December 31, 2025 and 24.6% for the nine months ended September 30, 2026.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This may include catastrophes even where we do not insure against the loss, such as the 2025 California wildfires, as homes and businesses lost or damaged due to catastrophe events may cancel or not renew their policies with us following such events. Additionally, unfavorable business, economic or regulatory conditions in California may result in a significant reduction of our premiums or increase our loss exposure. Changes to insurance-related laws or regulations in California could also adversely affect our business. In addition, the California Department of Insurance has continued to implement regulatory reforms, including changes to catastrophe modeling and rate regulation. We cannot predict how these or other regulatory changes may affect our California business. Delays in obtaining adequate rate approvals or restrictions on underwriting actions could reduce our ability to respond to changing loss trends and effectively manage catastrophe exposure.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could be adversely affected by the loss of one or more key executives or by an inability to attract and retain qualified personnel.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increased demand for employees with the desired skills and expertise could lead to increased compensation expectations for existing and prospective personnel, making it difficult for us to retain and recruit key personnel and maintain labor costs at desired levels.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particular, our future success is substantially dependent on the continued service of our Founder, Chief Executive Officer and Chairman, Mac Armstrong, our Chief Financial Officer, T. Christopher Uchida, and our President, Jon Christianson, as well as other members of our senior management team.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rely on a select group of third-party brokers and program administrators, and such relationships may not continue or may not perform as expected.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distribution networks of our products are multi-faceted and distinct to each line of business. Our relationships with third-party brokers or program administrators may be discontinued or materially modified at any time. Even if these relationships do continue, they may not be on terms that are profitable for us. We distribute a significant portion of our Earthquake products through relationships with certain third-party program administrators. Each of the products managed by these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year ended December 31, 2025, our largest third-party program administrator distributed $411.0 million, or 20.3% of our gross written premiums. There were no other third-party program administrators that distributed greater than 10% of our gross written premiums for the year ended December 31, 2025.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For the nine months ended September 30, 2026, our largest third-party program administrator distributed $320.3 million, or 15.8% of our gross written premiums. There were no other third-party program administrators that distributed greater than 10% of our gross written premiums for the nine months ended September 30, 2026.</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largest third-party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third-party brokers or program administrators could result in lower gross written premiums and could have a material adverse effect on our results of operations or business prospects.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Because we provide our program administrators with specific quoting and binding authority, if any of them fail to comply with pre</w:t>
      </w:r>
      <w:r>
        <w:rPr>
          <w:rFonts w:ascii="Times New Roman" w:hAnsi="Times New Roman"/>
          <w:color w:val="000000"/>
          <w:sz w:val="20"/>
        </w:rPr>
        <w:noBreakHyphen/>
      </w:r>
      <w:r>
        <w:rPr>
          <w:rFonts w:ascii="Times New Roman" w:hAnsi="Times New Roman"/>
          <w:b/>
          <w:i/>
          <w:color w:val="000000"/>
          <w:sz w:val="20"/>
        </w:rPr>
        <w:t>established guidelines, our results of operations could be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Because our business depends on insurance brokers and program administrators, we are exposed to certain risks arising from our reliance on these distribution channels that could adversely affect our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Certain premiums from policyholders, where the business is produced by brokers, are collected directly by the brokers and forwarded to our insurance subsidiaries. In certain jurisdictions, when an insured pays its policy premium to its broker for payment to us, the premium might be considered to have been paid under applicable insurance laws and regulations. Accordingly, the insured would no longer be liable to us for those amounts, whether or not we have received the premium from the broker. Consequently, we assume a degree of credit risk associated with the brokers with which we work. We review the financial condition of potential new brokers before we agree to transact business with them. Although the failure of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Because the possibility of these events occurring depends in large part upon the financial condition and internal operations of our brokers, we regularly meet and communicate with our brokers, monitor broker behavior, and review broker financial information as needed. If we are unable to collect premiums from our brokers in the future, our underwriting profits may decline, and our financial condition and results of operations could be materially and adversely affected.</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Competition for business in our industry is intense</w:t>
      </w:r>
      <w:r>
        <w:rPr>
          <w:rFonts w:ascii="Times New Roman" w:hAnsi="Times New Roman"/>
          <w:color w:val="000000"/>
          <w:sz w:val="20"/>
        </w:rPr>
        <w:t xml:space="preserve">, </w:t>
      </w:r>
      <w:r>
        <w:rPr>
          <w:rFonts w:ascii="Times New Roman" w:hAnsi="Times New Roman"/>
          <w:b/>
          <w:i/>
          <w:color w:val="000000"/>
          <w:sz w:val="20"/>
        </w:rPr>
        <w:t>which may result in pricing pressure, reduced underwriting margins, or changes in market share.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face competition from other specialty insurance companies, standard insurance companies and underwriting agencies that are larger than we are and that have greater financial, marketing, technological, and other resources than we do. Some of these competitors also have longer operating histories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were to provide coverage to non-CEA member carriers or lessen the capital requirements for membership, we would face additional competition in our markets, and our operating results could be adversely affected. Furthermore, it may be difficult or prohibitively expensive for us to implement or maintain technology systems and processes that are competitive with those of larger insurers.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and capital inflows, which may further intensify competition and pricing pressure.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Certain new, proposed or potential industry or legislative developments could further increase competition in our industry. For example, increased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increased competition limits our ability to transact business, our operating results could be adversely affected.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If actual renewals of our existing policies do not meet expectations, our written premium in future periods and our future results of operations could be materially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Most of our insurance policies are written for a one</w:t>
        <w:noBreakHyphen/>
        <w:t xml:space="preserve">year term. In our financial forecasting process, we make assumptions about renewal rates, pricing, and retention of our prior year’s policies. The insurance and reinsurance industries have historically been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cyclical, with periods of intense competition often driven by excess capital, leading to pricing pressure. If actual renewals do not meet expectations or if we choose not to write a renewal due to pricing conditions, our written premium in future years and our results of operations would be materially adversely affected.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failure to accurately and timely evaluate and pay claims could materially and adversely affect our business, financial condition, results of operations, and prospects.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must accurately and timely evaluate and pay claims that are made under our policies. Many factors affect our ability to do so, including the training and experience of our claims representatives and third-party claims administrators (“TPAs”), the effectiveness of our management, our ability to develop, select and implement appropriate procedures and systems to support our claims functions, and adequacy of our claims management controls and oversight.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handling, which could adversely affect our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act based on inaccurate or incomplete information regarding the accounts we underwrite.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rely on information provided by insureds or their representatives when underwriting insurance policies. While we may make inquiries and take other steps to validate or supplement this information, we may make underwriting and pricing decisions based on incorrect or incomplete information. It is possible that we will misunderstand the nature or extent of the activities or facilities and the corresponding risks we insure as a result of our reliance on inadequate or inaccurate information.</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change our underwriting guidelines or business strategy without stockholder approval.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management has the authority to change our underwriting guidelines or our strategy without notice to, or approval from, our stockholders. As a result, we may make fundamental changes to our operations without stockholder approval, which could result in our pursuing a strategy or implementing underwriting guidelines that may be materially different from those described in our public filings.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employees could take excessive risks, which could negatively affect our financial condition and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an insurance enterprise, we are in the business of binding certain risks. The employees who conduct our business, including executive officers and other members of management, underwriters, product managers and other employees, do so in part by making decisions that expose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such risks could have a material adverse effect on our financial condition and business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require additional capital in the future, which may not be available or may only be available on unfavorable terms.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future capital requirements depend on many factors, including our ability to write new business and to establish premium rates and reserves at levels sufficient to cover losses. Many factors will affect the amount and timing of our capital needs, including our growth rate and profitability, claims experience, availability and cost of reinsurance, market disruptions, and other unforeseeable developments. If we need to raise additional capital, equity or additional debt financing may not be available, or may only be available on unfavorable terms. Equity financings would result in dilution to our stockholders, while additional debt financings could subject us to additional or revised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not be able to manage our growth effectively.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have experienced significant growth in our employee base in recent periods, including through acquisitions. In addition, we intend to continue to grow our business in the future, which could require additional capital, technology development, and skilled personnel. To grow effectively, we must be able to meet our capital needs and expand our systems, technology, and internal controls in a timely and effective manner. We also must allocate our human resources effectively, including identifying, hiring, and retaining qualified employees, and successfully integrating the operations, systems, and personnel of any businesses we may acquire in our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effort to achieve growth. The failure to manage our growth effectively could have a material adverse effect on our business,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face risks associated with the evaluation of potential acquisitions, the integration of acquired businesses, and the introduction of new products, lines of business, and markets.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part of our business strategy, we may make acquisitions, including acquisitions in lines of business that are natural adjacencies. For example, we recently completed the acquisition of Gray Surety in January 2026 and the acquisitions of FIA and AAP in 2025. The success of our acquisition strategy is dependent upon our ability to identify appropriate acquisition targets, negotiate transactions on favorable terms, complete transactions, access adequate financing on acceptable terms, and successfully integrate them into our existing businesses. We may not realize the anticipated benefits of acquisitions we have completed or may complete in the future, and we may not be able to effectively integrate acquired businesses, including their operations, systems and personnel, which could materially adversely affect our business,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prepared by the management of such companies and have not been, or will not be, independently reviewed or audited. We cannot be certain that the financial statements or records of companies or assets we have acquired or may acquire would not, or will not, be materially different if such statements were independently reviewed or audited. If such statements were to be materially different, the goodwill, tangible and intangible assets we acquire may be more susceptible to impairment charges, which could have a material adverse effect on us.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many of the businesses that we acquire and develop will likely have smaller-scale operations prior to the implementation of our growth strategy. If our growth continues, it may place a significant strain on our management team and on our operational and financial systems, procedures, and controls. If we cannot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Failure to manage these risks arising from acquisitions or development of new businesses could materially and adversely affect our business, results of operations, and financial condition.</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Our operating results have varied from quarter to quarter and may not be indicative of our long</w:t>
      </w:r>
      <w:r>
        <w:rPr>
          <w:rFonts w:ascii="Times New Roman" w:hAnsi="Times New Roman"/>
          <w:color w:val="000000"/>
          <w:sz w:val="20"/>
        </w:rPr>
        <w:noBreakHyphen/>
      </w:r>
      <w:r>
        <w:rPr>
          <w:rFonts w:ascii="Times New Roman" w:hAnsi="Times New Roman"/>
          <w:b/>
          <w:i/>
          <w:color w:val="000000"/>
          <w:sz w:val="20"/>
        </w:rPr>
        <w:t>term prospects.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operating results are subject to fluctuation and have historically varied from quarter to quarter. We expect our quarterly results to continue to fluctuate in the future due to a number of factors, including the general economic conditions in the markets in which we operate, the frequency and severity of catastrophe or other insured events, fluctuations in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the insurance and reinsurance industries have historically been cyclical, characterized by periods of intense price competition due to excess underwriting capacity (soft market cycle) which decrease premium levels as well as periods when shortages of capacity increase premium levels (hard market cycle). We expect our business and results of operations to continue to be impacted by these market cycles.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seek to underwrite products and make investments to achieve favorable returns on tangible stockholders’ equity over the long term. Our opportunistic nature and focus on long</w:t>
        <w:noBreakHyphen/>
        <w:t>term growth in tangible equity may result in fluctuations in gross written premiums, reinsurance expenses, loss expenses, and other underwriting expenses from period to period as we concentrate on underwriting contracts that we believe will generate better long</w:t>
        <w:noBreakHyphen/>
        <w:t>term, rather than short</w:t>
        <w:noBreakHyphen/>
        <w:t>term, results. Accordingly, our short</w:t>
        <w:noBreakHyphen/>
        <w:t>term results of operations may not be indicative of our long</w:t>
        <w:noBreakHyphen/>
        <w:t>term prospects.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2026 Credit Agreement contains restrictions and covenants that limit our operating flexibility, and any borrowings under our 2026 Credit Agreement expose us to additional risks and may adversely affect our financial condition and future financial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entered into the 2026 Credit Agreement, which provides for revolving and term loan credit facilities. Borrowings under the 2026 Credit Agreement may impact our business and financial condition by:</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Requiring the dedication of a portion of our expected cash flows from operations to service our debt, thereby reducing the amount of expected cash flows available for other purposes, including investing, and paying claims and operating expenses;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Exposing us to interest rate risk since the interest rate in the 2026 Credit Agreement is a variable rate.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the 2026 Credit Agreement contains financial covenants, restrictions on indebtedness, liens, investments, mergers, dispositions, prepayment of other indebtedness and dividends and other distributions. The financial covenants in the 2026 Credit Agreement require that we do not exceed a maximum debt-to-capital ratio and maintain a minimum net worth at the end of each quarter. Our insurance subsidiaries are also required to maintain a minimum risk-based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our lenders, then, subject to applicable cure periods, any outstanding debt may be declared immediately due and payable.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Volatility in crop prices, as a result of weather conditions or other events, could adversely impact the performance of our crop business and our</w:t>
      </w:r>
      <w:r>
        <w:rPr>
          <w:rFonts w:ascii="Times New Roman" w:hAnsi="Times New Roman"/>
          <w:color w:val="000000"/>
          <w:sz w:val="20"/>
        </w:rPr>
        <w:t xml:space="preserve"> </w:t>
      </w:r>
      <w:r>
        <w:rPr>
          <w:rFonts w:ascii="Times New Roman" w:hAnsi="Times New Roman"/>
          <w:b/>
          <w:i/>
          <w:color w:val="000000"/>
          <w:sz w:val="20"/>
        </w:rPr>
        <w:t>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Weather conditions, including too much moisture (flooding or excessive rainfall), insufficient moisture (droughts), and the level of crop prices in the commodities market, heavily impact our crop insurance products. These factors are inherently unpredictable and could result in significant volatility in our operating results from period to period. Our results could also be negatively impacted by pests, plant disease or other biological risks. A significant decline in the commodity prices for one or more of the major crops that we insure could have a material adverse effect on our results of operations or financial condition. We also write certain coverages exposed to livestock prices and use put options to hedge a portion of that exposure, which may not fully offset adverse price movements.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Instability in the surety market, resulting from construction defaults, contractual disputes, or evolving regulatory requirements, could negatively impact the performance of our surety products.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Fluctuations in construction industry performance, defaults on bonded projects, contractual disagreements and regulatory changes are inherent risks in the surety insurance industry. These events may lead to increased challenges in underwriting, claims management, and regulatory compliance. If we are unable to effectively manage the impact of these risks, we could face increased loss reserves, higher underwriting losses, and increased operating costs, all of which could materially adversely affect our financial performance and overall profitability.</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the Economic Environment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misrepresent claims to obtain higher claims payments. These outcomes would reduce our underwriting profit to the extent these factors are not reflected in the rates we charge.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underwrite a significant portion of our insurance in California. An economic downturn which particularly impacts California could have an adverse effect on our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global trade policies, including the imposition of tariffs, along with broader economic uncertainty, could contribute to financial market volatility, interest rate fluctuations, and disruptions to the sectors we insure.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Ongoing global economic uncertainty, including the effects of inflation, interest rate volatility, and changes in international trade policies such as the imposition of tariffs, could have wide-ranging impacts on the markets in which we operate. These conditions may lead to shifts in consumer behavior, changes in exposure levels across personal and commercial lines, and increased costs associated with claims, operations, and policy administration. In addition, market volatility may negatively impact the performance of our investment portfolio and influence policyholder behavior. These developments, including inflation, tariffs and supply-chain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disruptions, may increase the cost of construction materials, auto parts, labor and other inputs used to settle claims, increasing claim severity, reserve requirements and pressure on underwriting margins, which could adversely affect our financial results, capital position and ability to execute our long-term business strategy.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Performance of our investment portfolio is subject to a variety of investment risks that may adversely affect our financial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Investment Committee. Our investments are subject to general economic conditions and market risks as well as risks inherent to particular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noBreakHyphen/>
        <w:t>backed and asset</w:t>
        <w:noBreakHyphen/>
        <w:t>backed securities, carry prepayment risk or, in a rising interest rate environment, may not prepay as quickly as expected.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at which we carry securities does not reflect prices at which actual transactions would occur.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also invest in marketable equity securities. These securities are carried on the balance sheet at fair market value and are subject to potential losses and declines in market value based on the performance of equity markets.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and the respective state insurance departments regulating each of our insurance company subsidiaries.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have invested, and may in the future invest, a small percentage of our investment portfolio in private companies, limited partnerships and other less liquid instruments, which we believe provide strategic opportunities. These types of investments are typically illiquid, and we have limited ability to take actions that protect or increase the value of this type of investment. In addition, we have invested, and may in the future invest, in securities that we classify as held-to-maturity, which may have no active market, may be valued using significant unobservable inputs, and, in the case of instruments such as surplus notes, may have payments that are subject to regulatory approval and may be deferred. Net losses from these investments or impairment of these investments may negatively impact our operating results.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could be forced to sell investments to meet our liquidity requirements.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 and loss adjustment reserves, a significant catastrophe event, or unfavorable litigation trends could potentially result in the need to sell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Technology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The failure or disruption of our information technology and telecommunications systems could adversely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is highly dependent on our information technology and telecommunications systems, including our underwriting system. We rely on these systems to interact with brokers and insureds, underwrite business, prepare policies and process premiums, perform actuarial and other modeling functions, process claims and make claims payments, and prepare internal and external financial statements and information. Some of these systems may include or rely on third</w:t>
        <w:noBreakHyphen/>
        <w:t>party systems not located on our premises or under our control. Events such as natural catastrophes, pandemics, cyber-attacks, terrorist acts, industrial accidents, system vulnerabilities, or malware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Security breaches or cyber-attacks could expose us to liability and damage our reputation and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noBreakHyphen/>
        <w:t>attacks or other disruptions.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Increased regulatory and public disclosure requirements related to cybersecurity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noBreakHyphen/>
        <w:t>ins or inappropriate access, or other developments will not compromise or breach the technology or other security measures protecting the networks and systems used in connection with our business.</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We employ third</w:t>
      </w:r>
      <w:r>
        <w:rPr>
          <w:rFonts w:ascii="Times New Roman" w:hAnsi="Times New Roman"/>
          <w:color w:val="000000"/>
          <w:sz w:val="20"/>
        </w:rPr>
        <w:noBreakHyphen/>
      </w:r>
      <w:r>
        <w:rPr>
          <w:rFonts w:ascii="Times New Roman" w:hAnsi="Times New Roman"/>
          <w:b/>
          <w:i/>
          <w:color w:val="000000"/>
          <w:sz w:val="20"/>
        </w:rPr>
        <w:t>party licensed software for use in our business, and the inability to maintain these licenses, problems with the software we license, or increases to the cost of software licenses could adversely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Multiple areas of our business rely on certain third</w:t>
        <w:noBreakHyphen/>
        <w:t>party software obtained under licenses from other companies, and we expect to continue to rely on such third</w:t>
        <w:noBreakHyphen/>
        <w:t>party software in the future. Unforeseen issues may arise in third-party software platforms which may have an adverse impact on our operations. Integration of new third</w:t>
        <w:noBreakHyphen/>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identify or implement acceptable alternatives in a timely manner, or at all. Many of the risks associated with the use of third</w:t>
        <w:noBreakHyphen/>
        <w:t>party software cannot be eliminated, and these risks could negatively affect our business.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disclose the affected portions of our source code or re</w:t>
        <w:noBreakHyphen/>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Control weaknesses or failures in cloud-based software could adversely affect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use cloud-based third-party software to host applications and support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The growth and evolution of artificial intelligence (AI) will impact our business and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incorporating AI and AI-adjacent technology and tools in certain business processes and workflows and expect AI to have a more meaningful impact on our Company in the future. While we are attempting to implement AI deliberately to enhance automation, efficiency, and risk management, we believe it introduces several additional risks. The increased investment in and reliance on AI for business processes creates risks should AI not provide the anticipated benefits or operate as anticipated. There are numerous AI-adjacent tools which may improve the efficiency or effectiveness of our processes, and there is a risk that we do not implement the correct tools or do not implement the tools effectively. While we issue guidelines to employees on the use of AI, employees may use it in unanticipated ways that introduce additional risk to us. Generative AI tools may provide inaccurate, incomplete or false information, introduce biases or otherwise adversely affect our operations, financial results or regulatory compliance. We also use AI to support risk selection, underwriting, pricing, and claims handling; if the analyses or recommendations these tools produce are, or are alleged to be, inaccurate, biased, or unfairly discriminatory, whether due to flawed algorithms, insufficient or biased data, or deficient training methodologies, our business, results of operations, reputation, and regulatory standing could be adversely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There is also risk around third-party use of AI as our customers, software vendors and other service providers are increasingly incorporating AI into their processes, which may expose us to additional risks should they not be able to incorporate the technology effectively. Our competitors may incorporate AI more effectively than we do, causing us to lose market share. We also believe AI increases the information technology and cybersecurity risks described above and could enhance cyberattack capabilities. AI-related issues, deficiencies and/or failures could adversely impact our operations, damage our reputation, and give rise to legal or regulatory action.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While we aim to develop and use AI deliberately and responsibly, we cannot anticipate all of the ways AI will impact us and cannot guarantee that the risks associated with AI use will be fully mitigated. Failure to manage AI risks could adversely impact our business.</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Laws and Regulations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insurance company subsidiaries, PSIC, PESIC, FIA and PCSC, are subject to extensive rules and regulations enforced by the insurance regulator of the state in which they are commercially domiciled. To a lesser degree, they are also subject to regulations in the other states in which they operate. Our Bermuda domiciled reinsurance subsidiary, Palomar Specialty Reinsurance Company Bermuda Ltd. (“PSRE”), is subject to regulation in Bermuda.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Most insurance regulations are designed to protect the interests of insurance policyholders, as opposed to the interests of investors or stockholders. These regulations generally are administered by a department of insurance in each state and relate to, among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U.S. insurance subsidiaries are part of an “insurance holding company system” within the meaning of applicable state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respective state regulator, at least 30 days prior to engaging in the transaction, and the regulator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we may be subject to significant fines and penalties and our working relationship with the state insurance regulators may be impaired.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U.S. insurance subsidiaries are subject to risk</w:t>
        <w:noBreakHyphen/>
        <w:t>based capital requirements, based upon the “risk-based capital model” adopted by the NAIC, and other minimum capital and surplus restrictions imposed under the laws of the state in which they are domiciled. These requirements establish the minimum amount of risk-based capital necessary for a company to support its overall business operations. The model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PSRE is subject to Bermuda’s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Laulima is subject to regulation by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FIA is subject to regulation by the New Jersey Department of Banking and Insurance, which requires that FIA comply with New Jersey Statutes and Insurance Code. Failure to meet these regulatory requirements could result in substantial fines or penalties and may negatively affect FIA’s relationship with the New Jersey Department of Banking and Insurance.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PCSC is subject to regulation by the Louisiana Department of Insurance and must comply with applicable Louisiana insurance laws and regulations. Failure to comply with these requirements may result in regulatory action, including fines, penalties, or other sanctions, and could adversely affect PCSC’s ability to conduct business in Louisiana.</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Unexpected changes in the interpretation of our coverage or provisions, including loss limitations and exclusions, in our policies could have a material adverse effect on our financial condition and results of operations.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crop insurance business is subject to extensive regulation and non-compliance with the regulations or changes in the regulations may adversely impact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Palomar Crop Insurance Services, Inc. (“PCIS”) participates in the federal crop insurance program and is impacted by any regulatory and legislative changes affecting that program. For example, the reinsurance levels that the federal government provides to authorized carriers could be reduced by future legislation. Additionally, the United States Department of Agriculture’s Risk Management Agency (“RMA”) establishes policy terms and conditions, rates and forms and is also responsible for setting compliance standards for our Crop insurance policies. We report all details of policies to the RMA and are party to a Standard Reinsurance Agreement (“SRA”) which sets out the relationship between private insurance companies and the Federal Crop Insurance Corporation. Noncompliance with any of the aforementioned regulations or legislative changes to the federal crop insurance program may impact PCIS’ ability to write crop insurance premiums in the future.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may become subject to additional government or market regulation, including additional regulation around cybersecurity and AI, which may have a material adverse impact on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business could be adversely affected by changes in state laws, including those relating to asset and reserve valuation requirements, surplus requirements, limitations on investments and dividends, enterprise risk and risk</w:t>
        <w:noBreakHyphen/>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In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is difficult to predict.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While we have implemented cybersecurity policies and procedures, there is no guarantee our policies and procedures will protect our systems against all attacks or comply with all provisions of these evolving regulations.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regulatory standards relating to the use of artificial intelligence are evolving, and certain states have issued regulatory guidance to insurance companies on the use of AI. Certain states have adopted the NAIC Model Bulletin on the Use of Artificial Intelligence, while the New York Department of Financial Services issued a circular letter on the use of AI in insurance underwriting and pricing. Such state guidance on the use of AI sets forth expectations that companies have governance and risk management practices in place to ensure the use of AI complies with various state laws governing the business of insurance.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tax laws as a result of the enactment of tax legislation could impact our operations and profitability.</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 In particular, because PSRE is domiciled in Bermuda, changes in U.S. tax laws affecting reinsurance arrangements between U.S. insurers and their non-U.S. affiliates - including legislative proposals to limit or eliminate the deductibility of premiums ceded to affiliated offshore reinsurers - could increase our effective tax rate or otherwise adversely affect our results of operations, and any such changes could apply retroactively.</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If states increase the assessments we are required to pay, our business, financial condition and results of operations would suffer.</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PSIC is licensed to conduct insurance operations on an admitted basis in 50 states. As PSIC grows, its share of any assessments in each state in which it underwrites business on an admitted basis may increase.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Because we are a holding company and substantially all our operations are conducted by our insurance subsidiaries, our ability to pay dividends depends on our ability to obtain cash dividends or other permitted payments from our insurance subsidiaries.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continued operation and growth of our business will require substantial capital. Because we are a holding company with no business operations of our own, our ability to support our growth and return capital to stockholders, including through dividends and share repurchases, largely depends on dividends and other distributions from our insurance subsidiaries, PSIC, PESIC, PSRE, FIA, and PCSC.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payment of cash dividends reduces the cash otherwise available to us for other purposes, including funding operations, debt service, acquisitions, and share repurchases, and there can be no assurance that our dividend payments will not adversely affect our liquidity or capital resources, particularly in the event of significant catastrophe losses or other unanticipated cash needs. In addition, our ability to pay dividends is subject to restrictions under our 2026 Credit Agreement and applicable state insurance and Bermuda insurance regulations affecting the ability of our insurance subsidiaries to pay dividends or make distributions to us, as described below and in Note 13 to the condensed consolidated financial statements included in Part I, Item 1, of this Quarterly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Insurance laws in jurisdictions such as various U.S. states and Bermuda restrict the ability of our subsidiaries to declare stockholder dividends. State insurance regulators require insurance companies to maintain specified levels of statutory capital and surplus. The maximum dividend distribution absent the approval or non</w:t>
        <w:noBreakHyphen/>
        <w:t xml:space="preserve">disapproval of the insurance regulatory authority in Oregon, California, Arizona, New Jersey, and Louisiana is limited by Oregon law at ORS 732.576, California law at Cal. Ins. Code 1215.5(g), Arizona Revised Statute 20-481, New Jersey statute N.J.S.A. 17:27A-4, and Louisiana law at La. R.S. 22:691.7.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PESIC, FIA, and PCSC may in the future adopt statutory provisions more restrictive than those currently in effect.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capital requirements. These restrictions, and any other future restrictions adopted by the BMA, could have the effect, under certain circumstances, of significantly reducing dividends or other amounts payable to us by PSRE without affirmative approval of the BMA.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determination to pay dividends in the future, including whether we continue to pay dividends at all, in the current amount, or on a quarterly schedule, will be at the discretion of our Board of Directors and will depend upon results of operations, financial condition, capital requirements, restrictions imposed by applicable law and other factors our Board of Directors deems relevant. If we reduce or discontinue dividends, investors may need to rely on price appreciation, which may never occur, to realize any gains on their investment.</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The effects of litigation on our business are uncertain and could have an adverse effect on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and can be influenced by evolving legal trends, including third-party litigation funding and social inflation. This litigation is based on a variety of issues, including insurance and claim settlement practices. We cannot predict with any certainty whether we will be involved in such litigation in the future or what impact such litigation would have on our business.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Failure to protect our intellectual property rights could impair our ability to protect our intellectual property, proprietary technology platform and brand, or we may be sued by third parties for alleged infringement of their proprietary rights.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noBreakHyphen/>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noBreakHyphen/>
        <w:t>consuming and divert the attention of our management and key personnel from our business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Changes in accounting standards and future pronouncements may materially affect our reported financial results.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 xml:space="preserve">In addition to compliance with GAAP on a consolidated basis, many of our subsidiaries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insurance industry participants. The NAIC continuously examines existing laws and regulations. We cannot predict whether or in what form such reforms will be enacted and, if so, whether the enacted reforms will positively or negatively affect us.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We incur significant costs as a public company, and our management is required to devote substantial time to complying with public company regulations.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noBreakHyphen/>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noBreakHyphen/>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Sarbanes</w:t>
        <w:noBreakHyphen/>
        <w:t>Oxley Act and the Dodd</w:t>
        <w:noBreakHyphen/>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 our operating costs and divert management’s time and attention from revenue</w:t>
        <w:noBreakHyphen/>
        <w:t>generating activities.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prepare and file periodic reports and distribute other stockholder communications, in compliance with the federal securities laws and requirements of Nasdaq;</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define and expand the roles and the duties of our Board of Directors and its committees;</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institute comprehensive compliance and investor relations functions; and</w:t>
      </w:r>
    </w:p>
    <w:p>
      <w:pPr>
        <w:pStyle w:val="TextBody"/>
        <w:bidi w:val="0"/>
        <w:spacing w:lineRule="auto" w:line="273" w:before="200" w:after="283"/>
        <w:jc w:val="left"/>
        <w:rPr>
          <w:color w:val="000000"/>
        </w:rPr>
      </w:pPr>
      <w:r>
        <w:rPr>
          <w:color w:val="000000"/>
        </w:rPr>
        <w: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evaluate and maintain our system of internal control over financial reporting, and report on management’s assessment thereof, in compliance with rules and regulations of the SEC and the Public Company Accounting Oversight Board.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We are required by Section</w:t>
      </w:r>
      <w:r>
        <w:rPr>
          <w:rFonts w:ascii="Times New Roman" w:hAnsi="Times New Roman"/>
          <w:color w:val="000000"/>
          <w:sz w:val="20"/>
        </w:rPr>
        <w:t xml:space="preserve"> </w:t>
      </w:r>
      <w:r>
        <w:rPr>
          <w:rFonts w:ascii="Times New Roman" w:hAnsi="Times New Roman"/>
          <w:b/>
          <w:i/>
          <w:color w:val="000000"/>
          <w:sz w:val="20"/>
        </w:rPr>
        <w:t>404 of the Sarbanes</w:t>
      </w:r>
      <w:r>
        <w:rPr>
          <w:rFonts w:ascii="Times New Roman" w:hAnsi="Times New Roman"/>
          <w:color w:val="000000"/>
          <w:sz w:val="20"/>
        </w:rPr>
        <w:noBreakHyphen/>
      </w:r>
      <w:r>
        <w:rPr>
          <w:rFonts w:ascii="Times New Roman" w:hAnsi="Times New Roman"/>
          <w:b/>
          <w:i/>
          <w:color w:val="000000"/>
          <w:sz w:val="20"/>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As a public company with SEC reporting obligations, we are required to document and test our internal control procedures to satisfy the requirements of Sections 404(a) and Section 404(b) of the Sarbanes</w:t>
        <w:noBreakHyphen/>
        <w:t xml:space="preserve">Oxley Act, which require annual assessments by management of the effectiveness of our internal control over financial reporting and an attestation report by our independent registered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public accounting firm on the effectiveness of our internal control over financial reporting. We must implement and maintain substantial internal control systems and procedures to satisfy the reporting requirements under the Exchange Act.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 of the Sarbanes</w:t>
        <w:noBreakHyphen/>
        <w:t>Oxley Act.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Applicable insurance laws may make it difficult to effect a change of control.</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Under applicable state insurance laws and regulations which govern our subsidiaries’ operations,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noBreakHyphen/>
        <w:t>competitive results that may arise from the consummation of the acquisition of control. State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state insurance laws and regulations, absent a disclaimer of control filing and its acceptance by the respective state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pStyle w:val="TextBody"/>
        <w:bidi w:val="0"/>
        <w:spacing w:lineRule="auto" w:line="273" w:before="200" w:after="283"/>
        <w:jc w:val="center"/>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Future transactions in which we raise capital may negatively affect our stock price.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Our operating results and stock price may be volatile, or may decline regardless of our operating performance, and holders of our common stock could lose all or part of their investment.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market conditions in the broader stock market;</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actual or anticipated fluctuations in our quarterly financial and operating results;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introduction of new products or services by us or our competitors;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issuance of new or changed securities analysts’ reports or recommendations;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results of operations that vary from expectations of securities analysts and investors;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short sales, hedging and other derivative transactions in our common stock;</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guidance, if any, that we provide to the public, any changes in this guidance or our failure to meet this guidance;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strategic actions by us or our competitors;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announcements by us, our competitors or our acquisition targets;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sales, or anticipated sales, of large blocks of our stock, including by our directors, executive officers and principal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additions or departures in our Board of Directors, senior management or other key personnel;</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regulatory, legal or political developments;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public response to press releases or other public announcements by us or third parties, including our filings with the SEC;</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litigation and governmental investigations;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changing economic conditions;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indebtedness we may incur or securities we may issue in the future;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default under agreements governing our indebtedness;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exposure to capital and credit market risks that adversely affect our investment portfolio or our capital resources;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changes in our credit ratings;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changes in corporate tax rates;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interest or exchange rate fluctuations; and</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other events or factors, including those from natural disasters, war, pandemics, acts of terrorism, cyber-attacks or responses to these events.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pStyle w:val="TextBody"/>
        <w:bidi w:val="0"/>
        <w:spacing w:lineRule="auto" w:line="264" w:before="200" w:after="283"/>
        <w:jc w:val="left"/>
        <w:rPr>
          <w:rFonts w:ascii="Times New Roman" w:hAnsi="Times New Roman"/>
          <w:sz w:val="20"/>
        </w:rPr>
      </w:pPr>
      <w:r>
        <w:rPr>
          <w:rFonts w:ascii="Times New Roman" w:hAnsi="Times New Roman"/>
          <w:b/>
          <w:i/>
          <w:color w:val="000000"/>
          <w:sz w:val="20"/>
        </w:rPr>
        <w:t>Anti</w:t>
      </w:r>
      <w:r>
        <w:rPr>
          <w:rFonts w:ascii="Times New Roman" w:hAnsi="Times New Roman"/>
          <w:color w:val="000000"/>
          <w:sz w:val="20"/>
        </w:rPr>
        <w:noBreakHyphen/>
      </w:r>
      <w:r>
        <w:rPr>
          <w:rFonts w:ascii="Times New Roman" w:hAnsi="Times New Roman"/>
          <w:b/>
          <w:i/>
          <w:color w:val="000000"/>
          <w:sz w:val="20"/>
        </w:rPr>
        <w:t>takeover provisions in our organizational documents could delay or prevent a change in management and limit our share price.</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Provisions in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Our charter documents contain anti</w:t>
        <w:noBreakHyphen/>
        <w:t>takeover provisions that will hinder takeover attempts and could reduce the market value of our common stock or prevent sale at a premium. Our anti</w:t>
        <w:noBreakHyphen/>
        <w:t>takeover provisions: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permit the Board of Directors to establish the number of directors and fill any vacancies and newly created directorships;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provide, through 2027, that our Board of Directors is classified into three classes with staggered, three year terms and that directors may only be removed for cause;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require, through 2027, super</w:t>
        <w:noBreakHyphen/>
        <w:t>majority voting to amend provisions in our certificate of incorporation and bylaws;</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include blank</w:t>
        <w:noBreakHyphen/>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chairman of our Board of Directors, or our chief executive officer;</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prohibit stockholder action by other than unanimous written consent;</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prohibit cumulative voting in the election of directors; and</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pStyle w:val="TextBody"/>
        <w:bidi w:val="0"/>
        <w:spacing w:lineRule="auto" w:line="273" w:before="200" w:after="283"/>
        <w:jc w:val="left"/>
        <w:rPr>
          <w:rFonts w:ascii="Times New Roman" w:hAnsi="Times New Roman"/>
          <w:sz w:val="20"/>
        </w:rPr>
      </w:pPr>
      <w:r>
        <w:rPr>
          <w:rFonts w:ascii="Times New Roman" w:hAnsi="Times New Roman"/>
          <w:b/>
          <w:i/>
          <w:color w:val="000000"/>
          <w:sz w:val="20"/>
        </w:rPr>
        <w:t>Our certificate of incorporation and bylaws provide that the Court of Chancery of the State of Delaware is the exclusive forum for substantially all disputes between us and our stockholders, which could limit our stockholders</w:t>
      </w:r>
      <w:r>
        <w:rPr>
          <w:rFonts w:ascii="Times New Roman" w:hAnsi="Times New Roman"/>
          <w:color w:val="000000"/>
          <w:sz w:val="20"/>
        </w:rPr>
        <w:t xml:space="preserve">’ </w:t>
      </w:r>
      <w:r>
        <w:rPr>
          <w:rFonts w:ascii="Times New Roman" w:hAnsi="Times New Roman"/>
          <w:b/>
          <w:i/>
          <w:color w:val="000000"/>
          <w:sz w:val="20"/>
        </w:rPr>
        <w:t>ability to obtain a favorable judicial forum for disputes with us or our directors, officers or employees.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Our certificate of incorporation and bylaws provide that the Court of Chancery of the State of Delaware is the exclusive forum for the following civil actions: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asserting a claim of breach of a fiduciary duty by any of our directors, officers, employees or agents or our stockholders;</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asserting a claim arising pursuant to any provision of the DGCL or our certificate of incorporation or bylaws or as to which the DGCL confers jurisdiction on the Court of Chancery of the State of Delaware;</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to interpret, apply, enforce or determine the validity of our certificate of incorporation or our bylaws; or</w:t>
      </w:r>
    </w:p>
    <w:p>
      <w:pPr>
        <w:pStyle w:val="TextBody"/>
        <w:bidi w:val="0"/>
        <w:spacing w:lineRule="auto" w:line="264" w:before="200" w:after="283"/>
        <w:jc w:val="left"/>
        <w:rPr>
          <w:color w:val="000000"/>
        </w:rPr>
      </w:pPr>
      <w:r>
        <w:rPr>
          <w:color w:val="000000"/>
        </w:rPr>
        <w:t>•</w:t>
      </w:r>
    </w:p>
    <w:p>
      <w:pPr>
        <w:pStyle w:val="TextBody"/>
        <w:bidi w:val="0"/>
        <w:spacing w:lineRule="auto" w:line="264" w:before="200" w:after="283"/>
        <w:jc w:val="left"/>
        <w:rPr>
          <w:rFonts w:ascii="Times New Roman" w:hAnsi="Times New Roman"/>
          <w:color w:val="000000"/>
          <w:sz w:val="20"/>
        </w:rPr>
      </w:pPr>
      <w:r>
        <w:rPr>
          <w:rFonts w:ascii="Times New Roman" w:hAnsi="Times New Roman"/>
          <w:color w:val="000000"/>
          <w:sz w:val="20"/>
        </w:rPr>
        <w:t>any action asserting a claim governed by the internal affairs doctrine.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lineRule="auto" w:line="273" w:before="20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before="200" w:after="283"/>
        <w:jc w:val="left"/>
        <w:rPr>
          <w:rFonts w:ascii="Times New Roman" w:hAnsi="Times New Roman"/>
          <w:sz w:val="20"/>
        </w:rPr>
      </w:pPr>
      <w:bookmarkStart w:id="19" w:name="item_2_unregistered_sales"/>
      <w:bookmarkEnd w:id="19"/>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Unregistered Sales of Equity Securities and Use of Proceeds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Share Repurchases</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Our purchases of our equity securities in the third quarter of fiscal year 2026 were:</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3410"/>
        <w:gridCol w:w="146"/>
        <w:gridCol w:w="176"/>
        <w:gridCol w:w="815"/>
        <w:gridCol w:w="146"/>
        <w:gridCol w:w="146"/>
        <w:gridCol w:w="260"/>
        <w:gridCol w:w="840"/>
        <w:gridCol w:w="146"/>
        <w:gridCol w:w="146"/>
        <w:gridCol w:w="295"/>
        <w:gridCol w:w="1345"/>
        <w:gridCol w:w="146"/>
        <w:gridCol w:w="146"/>
        <w:gridCol w:w="391"/>
        <w:gridCol w:w="1457"/>
        <w:gridCol w:w="194"/>
      </w:tblGrid>
      <w:tr>
        <w:tc>
          <w:tcPr>
            <w:tcW w:w="3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341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Approximate Dollar</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41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Total Number of</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Value of Shares</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41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Shares Purchased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that May Yet Be</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41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Price Paid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as Part of Publicly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Purchased Under the</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41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Per Share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6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Announced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84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Plans or Programs</w:t>
            </w:r>
            <w:r>
              <w:rPr>
                <w:rFonts w:ascii="Times New Roman" w:hAnsi="Times New Roman"/>
                <w:b/>
                <w:color w:val="000000"/>
                <w:sz w:val="13"/>
              </w:rPr>
              <w:t>(2)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pPr>
            <w:r>
              <w:t> </w:t>
            </w:r>
          </w:p>
        </w:tc>
      </w:tr>
      <w:tr>
        <w:tc>
          <w:tcPr>
            <w:tcW w:w="341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 in thousands)</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center"/>
            </w:pPr>
            <w:r>
              <w:t> </w:t>
            </w:r>
          </w:p>
        </w:tc>
      </w:tr>
      <w:tr>
        <w:tc>
          <w:tcPr>
            <w:tcW w:w="34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July 1, 2026 to July 31,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4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163,181</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August 1, 2026 to August 31,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1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84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3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163,181</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1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September 1, 2026 to September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34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45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154,295</w:t>
            </w:r>
          </w:p>
        </w:tc>
        <w:tc>
          <w:tcPr>
            <w:tcW w:w="194" w:type="dxa"/>
            <w:tcBorders/>
            <w:shd w:fill="CFF0FC" w:val="clear"/>
            <w:tcMar>
              <w:top w:w="0" w:type="dxa"/>
              <w:left w:w="0" w:type="dxa"/>
              <w:bottom w:w="0" w:type="dxa"/>
              <w:right w:w="0" w:type="dxa"/>
            </w:tcMar>
            <w:vAlign w:val="center"/>
          </w:tcPr>
          <w:p>
            <w:pPr>
              <w:pStyle w:val="TableContents"/>
              <w:bidi w:val="0"/>
              <w:spacing w:lineRule="auto" w:line="252" w:before="0" w:after="283"/>
              <w:jc w:val="left"/>
            </w:pPr>
            <w:r>
              <w:t> </w:t>
            </w:r>
          </w:p>
        </w:tc>
      </w:tr>
      <w:tr>
        <w:tc>
          <w:tcPr>
            <w:tcW w:w="3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34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pPr>
            <w:r>
              <w:t> </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pPr>
            <w:r>
              <w:t> </w:t>
            </w:r>
          </w:p>
        </w:tc>
      </w:tr>
    </w:tbl>
    <w:p>
      <w:pPr>
        <w:pStyle w:val="TextBody"/>
        <w:pBdr>
          <w:bottom w:val="single" w:sz="6" w:space="1" w:color="000000"/>
        </w:pBdr>
        <w:bidi w:val="0"/>
        <w:spacing w:lineRule="auto" w:line="273"/>
        <w:jc w:val="left"/>
      </w:pPr>
      <w:r>
        <w:t> </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0" w:after="0"/>
        <w:jc w:val="left"/>
        <w:rPr>
          <w:rFonts w:ascii="Times New Roman" w:hAnsi="Times New Roman"/>
          <w:color w:val="000000"/>
          <w:sz w:val="20"/>
        </w:rPr>
      </w:pPr>
      <w:r>
        <w:rPr>
          <w:rFonts w:ascii="Times New Roman" w:hAnsi="Times New Roman"/>
          <w:color w:val="000000"/>
          <w:sz w:val="20"/>
        </w:rPr>
        <w:t>Average Price Paid Per Share excludes cash paid for commissions.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On April 30, 2026, our Board of Directors approved the adoption of a share repurchase program, effective May 6, 2026, which replaced the 2025 Repurchase Program and authorized the repurchase of up to $200 million of outstanding shares of common stock through May 6, 2028.</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200" w:after="283"/>
        <w:jc w:val="left"/>
        <w:rPr>
          <w:rFonts w:ascii="Times New Roman" w:hAnsi="Times New Roman"/>
          <w:b/>
          <w:color w:val="000000"/>
          <w:sz w:val="20"/>
        </w:rPr>
      </w:pPr>
      <w:bookmarkStart w:id="20" w:name="item_3_defaults_upon"/>
      <w:bookmarkEnd w:id="20"/>
      <w:r>
        <w:rPr>
          <w:rFonts w:ascii="Times New Roman" w:hAnsi="Times New Roman"/>
          <w:b/>
          <w:color w:val="000000"/>
          <w:sz w:val="20"/>
        </w:rPr>
        <w:t>Item 3. Defaults Upon Senior Securities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lineRule="auto" w:line="273" w:before="200" w:after="283"/>
        <w:jc w:val="left"/>
        <w:rPr>
          <w:rFonts w:ascii="Times New Roman" w:hAnsi="Times New Roman"/>
          <w:b/>
          <w:color w:val="000000"/>
          <w:sz w:val="20"/>
        </w:rPr>
      </w:pPr>
      <w:bookmarkStart w:id="21" w:name="item_4_mine_safety"/>
      <w:bookmarkEnd w:id="21"/>
      <w:r>
        <w:rPr>
          <w:rFonts w:ascii="Times New Roman" w:hAnsi="Times New Roman"/>
          <w:b/>
          <w:color w:val="000000"/>
          <w:sz w:val="20"/>
        </w:rPr>
        <w:t>Item 4. Mine Safety Disclosures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lineRule="auto" w:line="273" w:before="200" w:after="283"/>
        <w:jc w:val="left"/>
        <w:rPr>
          <w:rFonts w:ascii="Times New Roman" w:hAnsi="Times New Roman"/>
          <w:b/>
          <w:color w:val="000000"/>
          <w:sz w:val="20"/>
        </w:rPr>
      </w:pPr>
      <w:bookmarkStart w:id="22" w:name="item_5_other_information"/>
      <w:bookmarkEnd w:id="22"/>
      <w:r>
        <w:rPr>
          <w:rFonts w:ascii="Times New Roman" w:hAnsi="Times New Roman"/>
          <w:b/>
          <w:color w:val="000000"/>
          <w:sz w:val="20"/>
        </w:rPr>
        <w:t>Item 5. Other Information</w:t>
      </w:r>
    </w:p>
    <w:p>
      <w:pPr>
        <w:pStyle w:val="TextBody"/>
        <w:bidi w:val="0"/>
        <w:spacing w:lineRule="auto" w:line="273" w:before="200" w:after="283"/>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September 4, 2026, Angela Grant, the Company’s Chief Legal Officer, entered a trading plan intended to satisfy the affirmative defense conditions of Rule 10b5-1(c) under the Exchange Act, providing for the exercise of stock options and sale of up to 1,254 shares of common stock underlying such options and the sale of up to 1,848 shares of the Company’s common stock. Pursuant to this plan, Ms. Grant may sell shares beginning December 4, 2026 and ending May 31, 2027.</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September 11, 2026, T. Christopher Uchida, the Company’s Chief Financial Officer, entered a trading plan intended to satisfy the affirmative defense conditions of Rule 10b5-1(c) under the Exchange Act, providing for the exercise of stock options and sale of up to 168 shares of common stock underlying such options and the sale of up to 9,827 shares of the Company’s common stock. Pursuant to this plan, Mr. Uchida may sell shares beginning December 11, 2026 and ending May 31, 2027.</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September 13, 2026, Jon Christianson, the Company’s President, entered a trading plan intended to satisfy the affirmative defense conditions of Rule 10b5-1(c) under the Exchange Act, providing for the exercise of stock options and sale of up to 6,924 shares of common stock underlying such options and the sale of up to 12,000 shares of the Company’s common stock. Pursuant to this plan, Mr. Christianson may sell shares beginning December 13, 2026 and ending May 31, 2027.</w:t>
      </w:r>
    </w:p>
    <w:p>
      <w:pPr>
        <w:pStyle w:val="TextBody"/>
        <w:bidi w:val="0"/>
        <w:spacing w:lineRule="auto" w:line="273"/>
        <w:jc w:val="left"/>
      </w:pPr>
      <w: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None of our other directors or officers (as defined in Rule 16a-1(f) of the Securities Exchange Act of 1934) adopted, terminated or modified a Rule 10b5-1 trading arrangement or non-Rule 10b5-1 trading arrangement (as such terms are defined in Item 408 of Regulation S-K) during the quarter ended September 30, 2026.</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left"/>
        <w:rPr>
          <w:rFonts w:ascii="Times New Roman" w:hAnsi="Times New Roman"/>
          <w:sz w:val="20"/>
        </w:rPr>
      </w:pPr>
      <w:bookmarkStart w:id="23" w:name="exs"/>
      <w:bookmarkEnd w:id="23"/>
      <w:r>
        <w:rPr>
          <w:rFonts w:ascii="Times New Roman" w:hAnsi="Times New Roman"/>
          <w:b/>
          <w:color w:val="000000"/>
          <w:sz w:val="20"/>
        </w:rPr>
        <w:t>Item</w:t>
      </w:r>
      <w:bookmarkStart w:id="24" w:name="item_6_exhibits"/>
      <w:bookmarkEnd w:id="24"/>
      <w:r>
        <w:rPr>
          <w:rFonts w:ascii="Times New Roman" w:hAnsi="Times New Roman"/>
          <w:color w:val="000000"/>
          <w:sz w:val="20"/>
        </w:rPr>
        <w:t xml:space="preserve"> </w:t>
      </w:r>
      <w:r>
        <w:rPr>
          <w:rFonts w:ascii="Times New Roman" w:hAnsi="Times New Roman"/>
          <w:b/>
          <w:color w:val="000000"/>
          <w:sz w:val="20"/>
        </w:rPr>
        <w:t>6. Exhibits</w:t>
      </w:r>
    </w:p>
    <w:p>
      <w:pPr>
        <w:pStyle w:val="TextBody"/>
        <w:bidi w:val="0"/>
        <w:spacing w:lineRule="auto" w:line="273"/>
        <w:jc w:val="left"/>
      </w:pPr>
      <w:r>
        <w:t> </w:t>
      </w:r>
    </w:p>
    <w:tbl>
      <w:tblPr>
        <w:tblW w:w="10205" w:type="dxa"/>
        <w:jc w:val="left"/>
        <w:tblInd w:w="0" w:type="dxa"/>
        <w:tblLayout w:type="fixed"/>
        <w:tblCellMar>
          <w:top w:w="28" w:type="dxa"/>
          <w:left w:w="28" w:type="dxa"/>
          <w:bottom w:w="28" w:type="dxa"/>
          <w:right w:w="28" w:type="dxa"/>
        </w:tblCellMar>
      </w:tblPr>
      <w:tblGrid>
        <w:gridCol w:w="839"/>
        <w:gridCol w:w="146"/>
        <w:gridCol w:w="9220"/>
      </w:tblGrid>
      <w:tr>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0" w:type="dxa"/>
            <w:tcBorders/>
            <w:vAlign w:val="center"/>
          </w:tcPr>
          <w:p>
            <w:pPr>
              <w:pStyle w:val="TableContents"/>
              <w:bidi w:val="0"/>
              <w:spacing w:before="0" w:after="283"/>
              <w:jc w:val="left"/>
              <w:rPr>
                <w:sz w:val="4"/>
                <w:szCs w:val="4"/>
              </w:rPr>
            </w:pPr>
            <w:r>
              <w:rPr>
                <w:sz w:val="4"/>
                <w:szCs w:val="4"/>
              </w:rPr>
            </w:r>
          </w:p>
        </w:tc>
      </w:tr>
      <w:tr>
        <w:tc>
          <w:tcPr>
            <w:tcW w:w="839"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Exhibit</w:t>
              <w:br/>
              <w:t>Number</w:t>
            </w:r>
          </w:p>
        </w:tc>
        <w:tc>
          <w:tcPr>
            <w:tcW w:w="14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pPr>
            <w:r>
              <w:t> </w:t>
            </w:r>
          </w:p>
        </w:tc>
        <w:tc>
          <w:tcPr>
            <w:tcW w:w="9220"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Description</w:t>
            </w:r>
          </w:p>
        </w:tc>
      </w:tr>
      <w:t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pPr>
            <w:hyperlink w:anchor="plmr-ex31_1.htm">
              <w:r>
                <w:rPr>
                  <w:rStyle w:val="InternetLink"/>
                  <w:rFonts w:ascii="Times New Roman" w:hAnsi="Times New Roman"/>
                  <w:color w:val="0000FF"/>
                  <w:sz w:val="20"/>
                  <w:u w:val="single"/>
                </w:rPr>
                <w:t>Certification of principal executive officer pursuant to Section 302 of the Sarbanes-Oxley Act of 2002</w:t>
              </w:r>
            </w:hyperlink>
          </w:p>
        </w:tc>
      </w:tr>
      <w:t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pPr>
            <w:hyperlink w:anchor="plmr-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pPr>
            <w:hyperlink w:anchor="plmr-ex32_1.htm">
              <w:r>
                <w:rPr>
                  <w:rStyle w:val="InternetLink"/>
                  <w:rFonts w:ascii="Times New Roman" w:hAnsi="Times New Roman"/>
                  <w:color w:val="0000FF"/>
                  <w:sz w:val="20"/>
                  <w:u w:val="single"/>
                </w:rPr>
                <w:t>Certifications pursuant to Section 906 of the Sarbanes-Oxley Act of 2002</w:t>
              </w:r>
            </w:hyperlink>
          </w:p>
        </w:tc>
      </w:tr>
      <w:t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c>
          <w:tcPr>
            <w:tcW w:w="83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922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pPr>
      <w:r/>
    </w:p>
    <w:p>
      <w:pPr>
        <w:pStyle w:val="TextBody"/>
        <w:bidi w:val="0"/>
        <w:spacing w:lineRule="auto" w:line="273"/>
        <w:jc w:val="left"/>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pPr>
      <w:r>
        <w:t> </w:t>
      </w:r>
    </w:p>
    <w:p>
      <w:pPr>
        <w:pStyle w:val="TextBody"/>
        <w:bidi w:val="0"/>
        <w:spacing w:lineRule="auto" w:line="273"/>
        <w:jc w:val="left"/>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73"/>
        <w:jc w:val="left"/>
      </w:pPr>
      <w:r>
        <w:t> </w:t>
      </w:r>
    </w:p>
    <w:tbl>
      <w:tblPr>
        <w:tblW w:w="6813" w:type="dxa"/>
        <w:jc w:val="left"/>
        <w:tblInd w:w="0" w:type="dxa"/>
        <w:tblLayout w:type="fixed"/>
        <w:tblCellMar>
          <w:top w:w="28" w:type="dxa"/>
          <w:left w:w="28" w:type="dxa"/>
          <w:bottom w:w="28" w:type="dxa"/>
          <w:right w:w="28" w:type="dxa"/>
        </w:tblCellMar>
      </w:tblPr>
      <w:tblGrid>
        <w:gridCol w:w="2101"/>
        <w:gridCol w:w="406"/>
        <w:gridCol w:w="4306"/>
      </w:tblGrid>
      <w:t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712" w:type="dxa"/>
            <w:gridSpan w:val="2"/>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Times New Roman" w:hAnsi="Times New Roman"/>
                <w:b/>
                <w:color w:val="000000"/>
                <w:sz w:val="20"/>
              </w:rPr>
              <w:t>Palomar</w:t>
            </w:r>
            <w:r>
              <w:rPr>
                <w:rFonts w:ascii="Times New Roman" w:hAnsi="Times New Roman"/>
                <w:color w:val="000000"/>
                <w:sz w:val="20"/>
              </w:rPr>
              <w:t xml:space="preserve"> </w:t>
            </w:r>
            <w:r>
              <w:rPr>
                <w:rFonts w:ascii="Times New Roman" w:hAnsi="Times New Roman"/>
                <w:b/>
                <w:color w:val="000000"/>
                <w:sz w:val="20"/>
              </w:rPr>
              <w:t>Holdings,</w:t>
            </w:r>
            <w:r>
              <w:rPr>
                <w:rFonts w:ascii="Times New Roman" w:hAnsi="Times New Roman"/>
                <w:color w:val="000000"/>
                <w:sz w:val="20"/>
              </w:rPr>
              <w:t xml:space="preserve"> </w:t>
            </w:r>
            <w:r>
              <w:rPr>
                <w:rFonts w:ascii="Times New Roman" w:hAnsi="Times New Roman"/>
                <w:b/>
                <w:color w:val="000000"/>
                <w:sz w:val="20"/>
              </w:rPr>
              <w:t>Inc.</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712" w:type="dxa"/>
            <w:gridSpan w:val="2"/>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November 5,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Mac Armstrong</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ind w:left="0" w:right="0" w:firstLine="40"/>
              <w:jc w:val="left"/>
            </w:pPr>
            <w:r>
              <w:t> </w:t>
            </w:r>
          </w:p>
        </w:tc>
        <w:tc>
          <w:tcPr>
            <w:tcW w:w="4306" w:type="dxa"/>
            <w:tcBorders/>
            <w:tcMar>
              <w:top w:w="0" w:type="dxa"/>
              <w:left w:w="0" w:type="dxa"/>
              <w:bottom w:w="0" w:type="dxa"/>
              <w:right w:w="0" w:type="dxa"/>
            </w:tcMar>
            <w:vAlign w:val="center"/>
          </w:tcPr>
          <w:p>
            <w:pPr>
              <w:pStyle w:val="TableContents"/>
              <w:bidi w:val="0"/>
              <w:spacing w:lineRule="auto" w:line="252" w:before="0" w:after="283"/>
              <w:ind w:left="0" w:right="0" w:firstLine="40"/>
              <w:jc w:val="left"/>
              <w:rPr>
                <w:rFonts w:ascii="Times New Roman" w:hAnsi="Times New Roman"/>
                <w:color w:val="000000"/>
                <w:sz w:val="20"/>
              </w:rPr>
            </w:pPr>
            <w:r>
              <w:rPr>
                <w:rFonts w:ascii="Times New Roman" w:hAnsi="Times New Roman"/>
                <w:color w:val="000000"/>
                <w:sz w:val="20"/>
              </w:rPr>
              <w:t>Mac Armstrong</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30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Chairman of the Board and Chief Executive Officer</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712" w:type="dxa"/>
            <w:gridSpan w:val="2"/>
            <w:tcBorders/>
            <w:tcMar>
              <w:top w:w="0" w:type="dxa"/>
              <w:left w:w="0" w:type="dxa"/>
              <w:bottom w:w="0" w:type="dxa"/>
              <w:right w:w="0" w:type="dxa"/>
            </w:tcMar>
            <w:vAlign w:val="center"/>
          </w:tcPr>
          <w:p>
            <w:pPr>
              <w:pStyle w:val="TableContents"/>
              <w:bidi w:val="0"/>
              <w:spacing w:lineRule="auto" w:line="252"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November 5,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bottom w:val="single" w:sz="6"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T. Christopher Uchida</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ind w:left="0" w:right="0" w:firstLine="40"/>
              <w:jc w:val="left"/>
            </w:pPr>
            <w:r>
              <w:t> </w:t>
            </w:r>
          </w:p>
        </w:tc>
        <w:tc>
          <w:tcPr>
            <w:tcW w:w="4306" w:type="dxa"/>
            <w:tcBorders/>
            <w:tcMar>
              <w:top w:w="0" w:type="dxa"/>
              <w:left w:w="0" w:type="dxa"/>
              <w:bottom w:w="0" w:type="dxa"/>
              <w:right w:w="0" w:type="dxa"/>
            </w:tcMar>
            <w:vAlign w:val="center"/>
          </w:tcPr>
          <w:p>
            <w:pPr>
              <w:pStyle w:val="TableContents"/>
              <w:bidi w:val="0"/>
              <w:spacing w:lineRule="auto" w:line="252" w:before="0" w:after="283"/>
              <w:ind w:left="0" w:right="0" w:firstLine="40"/>
              <w:jc w:val="left"/>
              <w:rPr>
                <w:rFonts w:ascii="Times New Roman" w:hAnsi="Times New Roman"/>
                <w:color w:val="000000"/>
                <w:sz w:val="20"/>
              </w:rPr>
            </w:pPr>
            <w:r>
              <w:rPr>
                <w:rFonts w:ascii="Times New Roman" w:hAnsi="Times New Roman"/>
                <w:color w:val="000000"/>
                <w:sz w:val="20"/>
              </w:rPr>
              <w:t>T. Christopher Uchida</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30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lineRule="auto" w:line="273"/>
        <w:jc w:val="left"/>
      </w:pPr>
      <w:r>
        <w:t> </w:t>
      </w:r>
    </w:p>
    <w:p>
      <w:pPr>
        <w:pStyle w:val="TextBody"/>
        <w:bidi w:val="0"/>
        <w:spacing w:lineRule="auto" w:line="273"/>
        <w:jc w:val="center"/>
      </w:pPr>
      <w: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pPr>
      <w:r/>
    </w:p>
    <w:p>
      <w:pPr>
        <w:pStyle w:val="TextBody"/>
        <w:bidi w:val="0"/>
        <w:spacing w:lineRule="auto" w:line="273"/>
        <w:jc w:val="right"/>
        <w:rPr>
          <w:rFonts w:ascii="Times New Roman" w:hAnsi="Times New Roman"/>
          <w:b/>
          <w:color w:val="000000"/>
          <w:sz w:val="20"/>
        </w:rPr>
      </w:pPr>
      <w:bookmarkStart w:id="26" w:name="plmr-ex31_1.htm"/>
      <w:bookmarkStart w:id="27" w:name="ksplmrex31_1"/>
      <w:bookmarkEnd w:id="26"/>
      <w:bookmarkEnd w:id="27"/>
      <w:r>
        <w:rPr>
          <w:rFonts w:ascii="Times New Roman" w:hAnsi="Times New Roman"/>
          <w:b/>
          <w:color w:val="000000"/>
          <w:sz w:val="20"/>
        </w:rPr>
        <w:t>Exhibit 31.1</w:t>
      </w:r>
      <w:r>
        <w:br w:type="page"/>
      </w:r>
    </w:p>
    <w:p>
      <w:pPr>
        <w:pStyle w:val="TextBody"/>
        <w:bidi w:val="0"/>
        <w:spacing w:lineRule="auto" w:line="273" w:before="200" w:after="283"/>
        <w:jc w:val="center"/>
        <w:rPr>
          <w:rFonts w:ascii="Times New Roman" w:hAnsi="Times New Roman"/>
          <w:b/>
          <w:smallCaps/>
          <w:color w:val="000000"/>
          <w:sz w:val="20"/>
        </w:rPr>
      </w:pPr>
      <w:r>
        <w:rPr>
          <w:rFonts w:ascii="Times New Roman" w:hAnsi="Times New Roman"/>
          <w:b/>
          <w:smallCaps/>
          <w:color w:val="000000"/>
          <w:sz w:val="20"/>
        </w:rPr>
        <w:t>Certification of Principal Executive Officer</w:t>
      </w:r>
    </w:p>
    <w:p>
      <w:pPr>
        <w:pStyle w:val="TextBody"/>
        <w:bidi w:val="0"/>
        <w:spacing w:lineRule="auto" w:line="273"/>
        <w:jc w:val="center"/>
        <w:rPr>
          <w:rFonts w:ascii="Times New Roman" w:hAnsi="Times New Roman"/>
          <w:b/>
          <w:smallCaps/>
          <w:color w:val="000000"/>
          <w:sz w:val="20"/>
        </w:rPr>
      </w:pPr>
      <w:r>
        <w:rPr>
          <w:rFonts w:ascii="Times New Roman" w:hAnsi="Times New Roman"/>
          <w:b/>
          <w:smallCaps/>
          <w:color w:val="000000"/>
          <w:sz w:val="20"/>
        </w:rPr>
        <w:t>Pursuant to Section 302 of the Sarbanes-Oxley Act of 2002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Mac Armstrong, certify that: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Palomar Holdings, Inc.;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left"/>
      </w:pPr>
      <w:r>
        <w:t> </w:t>
      </w:r>
    </w:p>
    <w:tbl>
      <w:tblPr>
        <w:tblW w:w="6553" w:type="dxa"/>
        <w:jc w:val="left"/>
        <w:tblInd w:w="0" w:type="dxa"/>
        <w:tblLayout w:type="fixed"/>
        <w:tblCellMar>
          <w:top w:w="28" w:type="dxa"/>
          <w:left w:w="28" w:type="dxa"/>
          <w:bottom w:w="28" w:type="dxa"/>
          <w:right w:w="28" w:type="dxa"/>
        </w:tblCellMar>
      </w:tblPr>
      <w:tblGrid>
        <w:gridCol w:w="2101"/>
        <w:gridCol w:w="146"/>
        <w:gridCol w:w="4306"/>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November 5,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30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Mac Armstrong</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Mac Armstrong</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bl>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right"/>
        <w:rPr>
          <w:rFonts w:ascii="Times New Roman" w:hAnsi="Times New Roman"/>
          <w:b/>
          <w:color w:val="000000"/>
          <w:sz w:val="20"/>
        </w:rPr>
      </w:pPr>
      <w:bookmarkStart w:id="28" w:name="plmr-ex31_2.htm"/>
      <w:bookmarkStart w:id="29" w:name="ksplmrex31_2"/>
      <w:bookmarkEnd w:id="28"/>
      <w:bookmarkEnd w:id="29"/>
      <w:r>
        <w:rPr>
          <w:rFonts w:ascii="Times New Roman" w:hAnsi="Times New Roman"/>
          <w:b/>
          <w:color w:val="000000"/>
          <w:sz w:val="20"/>
        </w:rPr>
        <w:t>Exhibit 31.2</w:t>
      </w:r>
      <w:r>
        <w:br w:type="page"/>
      </w:r>
    </w:p>
    <w:p>
      <w:pPr>
        <w:pStyle w:val="TextBody"/>
        <w:bidi w:val="0"/>
        <w:spacing w:lineRule="auto" w:line="273" w:before="200" w:after="283"/>
        <w:jc w:val="center"/>
        <w:rPr>
          <w:rFonts w:ascii="Times New Roman" w:hAnsi="Times New Roman"/>
          <w:b/>
          <w:smallCaps/>
          <w:color w:val="000000"/>
          <w:sz w:val="20"/>
        </w:rPr>
      </w:pPr>
      <w:r>
        <w:rPr>
          <w:rFonts w:ascii="Times New Roman" w:hAnsi="Times New Roman"/>
          <w:b/>
          <w:smallCaps/>
          <w:color w:val="000000"/>
          <w:sz w:val="20"/>
        </w:rPr>
        <w:t>Certification of Principal Financial Officer</w:t>
      </w:r>
    </w:p>
    <w:p>
      <w:pPr>
        <w:pStyle w:val="TextBody"/>
        <w:bidi w:val="0"/>
        <w:spacing w:lineRule="auto" w:line="273"/>
        <w:jc w:val="center"/>
        <w:rPr>
          <w:rFonts w:ascii="Times New Roman" w:hAnsi="Times New Roman"/>
          <w:b/>
          <w:smallCaps/>
          <w:color w:val="000000"/>
          <w:sz w:val="20"/>
        </w:rPr>
      </w:pPr>
      <w:r>
        <w:rPr>
          <w:rFonts w:ascii="Times New Roman" w:hAnsi="Times New Roman"/>
          <w:b/>
          <w:smallCaps/>
          <w:color w:val="000000"/>
          <w:sz w:val="20"/>
        </w:rPr>
        <w:t>Pursuant to Section 302 of the Sarbanes-Oxley Act of 2002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T. Christopher Uchida, certify that: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Palomar Holdings, Inc.;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left"/>
      </w:pPr>
      <w:r>
        <w:t> </w:t>
      </w:r>
    </w:p>
    <w:tbl>
      <w:tblPr>
        <w:tblW w:w="4438" w:type="dxa"/>
        <w:jc w:val="left"/>
        <w:tblInd w:w="0" w:type="dxa"/>
        <w:tblLayout w:type="fixed"/>
        <w:tblCellMar>
          <w:top w:w="28" w:type="dxa"/>
          <w:left w:w="28" w:type="dxa"/>
          <w:bottom w:w="28" w:type="dxa"/>
          <w:right w:w="28" w:type="dxa"/>
        </w:tblCellMar>
      </w:tblPr>
      <w:tblGrid>
        <w:gridCol w:w="2101"/>
        <w:gridCol w:w="146"/>
        <w:gridCol w:w="2191"/>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November 5,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219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 T. Christopher Uchida</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21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 Christopher Uchida</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pPr>
            <w:r>
              <w:t> </w:t>
            </w:r>
          </w:p>
        </w:tc>
        <w:tc>
          <w:tcPr>
            <w:tcW w:w="219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lineRule="auto" w:line="273"/>
        <w:jc w:val="left"/>
      </w:pPr>
      <w:r>
        <w:t> </w:t>
      </w:r>
    </w:p>
    <w:p>
      <w:pPr>
        <w:pStyle w:val="HorizontalLine"/>
        <w:pBdr>
          <w:bottom w:val="double" w:sz="2" w:space="0" w:color="808080"/>
        </w:pBdr>
        <w:bidi w:val="0"/>
        <w:spacing w:before="0" w:after="283"/>
        <w:jc w:val="left"/>
      </w:pPr>
      <w:r/>
    </w:p>
    <w:p>
      <w:pPr>
        <w:pStyle w:val="TextBody"/>
        <w:bidi w:val="0"/>
        <w:spacing w:lineRule="auto" w:line="273"/>
        <w:jc w:val="right"/>
        <w:rPr>
          <w:rFonts w:ascii="Times New Roman" w:hAnsi="Times New Roman"/>
          <w:b/>
          <w:color w:val="000000"/>
          <w:sz w:val="20"/>
        </w:rPr>
      </w:pPr>
      <w:bookmarkStart w:id="30" w:name="plmr-ex32_1.htm"/>
      <w:bookmarkStart w:id="31" w:name="ksplmrex32_1"/>
      <w:bookmarkEnd w:id="30"/>
      <w:bookmarkEnd w:id="31"/>
      <w:r>
        <w:rPr>
          <w:rFonts w:ascii="Times New Roman" w:hAnsi="Times New Roman"/>
          <w:b/>
          <w:color w:val="000000"/>
          <w:sz w:val="20"/>
        </w:rPr>
        <w:t>EXHIBIT 32.1</w:t>
      </w:r>
      <w:r>
        <w:br w:type="page"/>
      </w:r>
    </w:p>
    <w:p>
      <w:pPr>
        <w:pStyle w:val="TextBody"/>
        <w:bidi w:val="0"/>
        <w:spacing w:lineRule="auto" w:line="273" w:before="20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In connection with the Quarterly Report on Form 10-Q of Palomar Holdings, Inc. (the “Company”) for the quarter ended September 30, 2026,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as applicable, of the Securities Exchange Act of 1934, as amended; and</w:t>
      </w:r>
    </w:p>
    <w:p>
      <w:pPr>
        <w:pStyle w:val="TextBody"/>
        <w:bidi w:val="0"/>
        <w:spacing w:lineRule="auto" w:line="273"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lineRule="auto" w:line="273"/>
        <w:jc w:val="left"/>
      </w:pPr>
      <w:r>
        <w:t> </w:t>
      </w:r>
    </w:p>
    <w:tbl>
      <w:tblPr>
        <w:tblW w:w="7038" w:type="dxa"/>
        <w:jc w:val="left"/>
        <w:tblInd w:w="0" w:type="dxa"/>
        <w:tblLayout w:type="fixed"/>
        <w:tblCellMar>
          <w:top w:w="28" w:type="dxa"/>
          <w:left w:w="28" w:type="dxa"/>
          <w:bottom w:w="28" w:type="dxa"/>
          <w:right w:w="28" w:type="dxa"/>
        </w:tblCellMar>
      </w:tblPr>
      <w:tblGrid>
        <w:gridCol w:w="2101"/>
        <w:gridCol w:w="631"/>
        <w:gridCol w:w="4306"/>
      </w:tblGrid>
      <w:tr>
        <w:tc>
          <w:tcPr>
            <w:tcW w:w="210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lineRule="auto" w:line="252" w:before="200" w:after="283"/>
              <w:jc w:val="left"/>
              <w:rPr>
                <w:rFonts w:ascii="Times New Roman" w:hAnsi="Times New Roman"/>
                <w:color w:val="000000"/>
                <w:sz w:val="20"/>
              </w:rPr>
            </w:pPr>
            <w:r>
              <w:rPr>
                <w:rFonts w:ascii="Times New Roman" w:hAnsi="Times New Roman"/>
                <w:color w:val="000000"/>
                <w:sz w:val="20"/>
              </w:rPr>
              <w:t>Date: November 5, 2026</w:t>
            </w:r>
          </w:p>
        </w:tc>
        <w:tc>
          <w:tcPr>
            <w:tcW w:w="631" w:type="dxa"/>
            <w:tcBorders/>
            <w:tcMar>
              <w:top w:w="0" w:type="dxa"/>
              <w:left w:w="0" w:type="dxa"/>
              <w:bottom w:w="0" w:type="dxa"/>
              <w:right w:w="0" w:type="dxa"/>
            </w:tcMar>
            <w:vAlign w:val="center"/>
          </w:tcPr>
          <w:p>
            <w:pPr>
              <w:pStyle w:val="TableContents"/>
              <w:bidi w:val="0"/>
              <w:spacing w:lineRule="auto" w:line="252" w:before="200" w:after="283"/>
              <w:jc w:val="left"/>
              <w:rPr>
                <w:rFonts w:ascii="Times New Roman" w:hAnsi="Times New Roman"/>
                <w:color w:val="000000"/>
                <w:sz w:val="20"/>
              </w:rPr>
            </w:pPr>
            <w:r>
              <w:rPr>
                <w:rFonts w:ascii="Times New Roman" w:hAnsi="Times New Roman"/>
                <w:color w:val="000000"/>
                <w:sz w:val="20"/>
              </w:rPr>
              <w:t>By:</w:t>
            </w:r>
          </w:p>
        </w:tc>
        <w:tc>
          <w:tcPr>
            <w:tcW w:w="4306" w:type="dxa"/>
            <w:tcBorders/>
            <w:tcMar>
              <w:top w:w="0" w:type="dxa"/>
              <w:left w:w="0" w:type="dxa"/>
              <w:bottom w:w="0" w:type="dxa"/>
              <w:right w:w="0" w:type="dxa"/>
            </w:tcMar>
            <w:vAlign w:val="center"/>
          </w:tcPr>
          <w:p>
            <w:pPr>
              <w:pStyle w:val="TableContents"/>
              <w:pBdr>
                <w:bottom w:val="single" w:sz="6" w:space="1" w:color="000000"/>
              </w:pBdr>
              <w:bidi w:val="0"/>
              <w:spacing w:lineRule="auto" w:line="252" w:before="200" w:after="283"/>
              <w:jc w:val="left"/>
              <w:rPr>
                <w:rFonts w:ascii="Times New Roman" w:hAnsi="Times New Roman"/>
                <w:color w:val="000000"/>
                <w:sz w:val="20"/>
              </w:rPr>
            </w:pPr>
            <w:r>
              <w:rPr>
                <w:rFonts w:ascii="Times New Roman" w:hAnsi="Times New Roman"/>
                <w:color w:val="000000"/>
                <w:sz w:val="20"/>
              </w:rPr>
              <w:t>/s/ Mac Armstrong</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Name: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Mac Armstrong</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Title: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Executive Officer)</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November 5, 2026</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tcMar>
              <w:top w:w="0" w:type="dxa"/>
              <w:left w:w="0" w:type="dxa"/>
              <w:bottom w:w="0" w:type="dxa"/>
              <w:right w:w="0" w:type="dxa"/>
            </w:tcMar>
            <w:vAlign w:val="center"/>
          </w:tcPr>
          <w:p>
            <w:pPr>
              <w:pStyle w:val="TableContents"/>
              <w:pBdr>
                <w:bottom w:val="single" w:sz="6" w:space="1" w:color="000000"/>
              </w:pBdr>
              <w:bidi w:val="0"/>
              <w:spacing w:lineRule="auto" w:line="252" w:before="0" w:after="283"/>
              <w:jc w:val="left"/>
              <w:rPr>
                <w:rFonts w:ascii="Times New Roman" w:hAnsi="Times New Roman"/>
                <w:color w:val="000000"/>
                <w:sz w:val="20"/>
              </w:rPr>
            </w:pPr>
            <w:r>
              <w:rPr>
                <w:rFonts w:ascii="Times New Roman" w:hAnsi="Times New Roman"/>
                <w:color w:val="000000"/>
                <w:sz w:val="20"/>
              </w:rPr>
              <w:t>/s/ T. Christopher Uchida</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Name: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 Christopher Uchida</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Title:</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210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cs="Tahoma;sans-serif"/>
                <w:color w:val="000000"/>
                <w:szCs w:val="20"/>
              </w:rPr>
            </w:pPr>
            <w:r>
              <w:rPr>
                <w:rFonts w:cs="Tahoma;sans-serif"/>
                <w:color w:val="000000"/>
                <w:szCs w:val="20"/>
              </w:rPr>
              <w:t>﻿</w:t>
            </w:r>
          </w:p>
        </w:tc>
        <w:tc>
          <w:tcPr>
            <w:tcW w:w="43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lineRule="auto" w:line="319" w:before="0" w:after="16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45538</Words>
  <Characters>252846</Characters>
  <CharactersWithSpaces>301093</CharactersWithSpaces>
  <Paragraphs>13240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