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plmr-20260804.htm"/>
      <w:bookmarkStart w:id="1" w:name="ksplmr20260804"/>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04,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Palomar Holdings,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002" w:type="dxa"/>
        <w:jc w:val="left"/>
        <w:tblInd w:w="0" w:type="dxa"/>
        <w:tblLayout w:type="fixed"/>
        <w:tblCellMar>
          <w:top w:w="28" w:type="dxa"/>
          <w:left w:w="28" w:type="dxa"/>
          <w:bottom w:w="28" w:type="dxa"/>
          <w:right w:w="28" w:type="dxa"/>
        </w:tblCellMar>
      </w:tblPr>
      <w:tblGrid>
        <w:gridCol w:w="997"/>
        <w:gridCol w:w="909"/>
        <w:gridCol w:w="914"/>
        <w:gridCol w:w="1846"/>
        <w:gridCol w:w="1336"/>
      </w:tblGrid>
      <w:tr>
        <w:trPr/>
        <w:tc>
          <w:tcPr>
            <w:tcW w:w="997"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001-38873</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83-3972551</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7979 Ivanhoe Avenue, Suite 500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La Jolla,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92037</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619</w:t>
            </w:r>
            <w:r>
              <w:rPr>
                <w:rFonts w:ascii="Times New Roman" w:hAnsi="Times New Roman"/>
                <w:color w:val="000000"/>
                <w:sz w:val="20"/>
              </w:rPr>
              <w:t xml:space="preserve"> </w:t>
            </w:r>
            <w:r>
              <w:rPr>
                <w:rFonts w:ascii="Times New Roman" w:hAnsi="Times New Roman"/>
                <w:b/>
                <w:color w:val="000000"/>
                <w:sz w:val="20"/>
              </w:rPr>
              <w:t>567-5290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PLMR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 xml:space="preserve">On August 4, 2026, Palomar Holdings, Inc. (the “Company”) issued a press release announcing its financial results for the fiscal quarter ended June 30, 2026. A copy of the press release is attached hereto as Exhibit 99.1.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contained under this Item 2.02, including Exhibit 99.1 attached hereto, shall not be deemed “filed” for purposes of Section 18 of the Securities Exchange Act of 1934, as amended (the “Exchange Act”), or otherwise subject to the liability of that section, nor shall it be deemed incorporated by reference in any filing under the Securities Act of 1933, as amended, or under the Exchange Act, regardless of any general incorporation language in any such filing, unless the Company expressly sets forth in such filing that such information is to be considered “filed” or incorporated by reference therein.</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8.01. Other Events.</w:t>
      </w:r>
    </w:p>
    <w:p>
      <w:pPr>
        <w:pStyle w:val="TextBody"/>
        <w:bidi w:val="0"/>
        <w:jc w:val="left"/>
        <w:rPr>
          <w:rFonts w:ascii="Times New Roman" w:hAnsi="Times New Roman"/>
          <w:color w:val="000000"/>
          <w:sz w:val="20"/>
        </w:rPr>
      </w:pPr>
      <w:r>
        <w:rPr>
          <w:rFonts w:ascii="Times New Roman" w:hAnsi="Times New Roman"/>
          <w:color w:val="000000"/>
          <w:sz w:val="20"/>
        </w:rPr>
        <w:t>On July 30, 2026, the Board of Directors of the Company declared the Company’s initial quarterly cash dividend of $0.45 per common share. The dividend will be payable on September 2, 2026, to stockholders of record as of the close of business on August 19, 2026.</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tbl>
      <w:tblPr>
        <w:tblW w:w="7682" w:type="dxa"/>
        <w:jc w:val="left"/>
        <w:tblInd w:w="0" w:type="dxa"/>
        <w:tblLayout w:type="fixed"/>
        <w:tblCellMar>
          <w:top w:w="28" w:type="dxa"/>
          <w:left w:w="28" w:type="dxa"/>
          <w:bottom w:w="28" w:type="dxa"/>
          <w:right w:w="28" w:type="dxa"/>
        </w:tblCellMar>
      </w:tblPr>
      <w:tblGrid>
        <w:gridCol w:w="1081"/>
        <w:gridCol w:w="6601"/>
      </w:tblGrid>
      <w:tr>
        <w:trPr/>
        <w:tc>
          <w:tcPr>
            <w:tcW w:w="1081"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plmr-ex99_1.htm">
              <w:r>
                <w:rPr>
                  <w:rStyle w:val="InternetLink"/>
                  <w:rFonts w:ascii="Times New Roman" w:hAnsi="Times New Roman"/>
                  <w:color w:val="0000FF"/>
                  <w:sz w:val="20"/>
                  <w:u w:val="single"/>
                </w:rPr>
                <w:t>Press Release, dated August 4, 2026</w:t>
              </w:r>
            </w:hyperlink>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124" w:type="dxa"/>
        <w:jc w:val="left"/>
        <w:tblInd w:w="0" w:type="dxa"/>
        <w:tblLayout w:type="fixed"/>
        <w:tblCellMar>
          <w:top w:w="28" w:type="dxa"/>
          <w:left w:w="28" w:type="dxa"/>
          <w:bottom w:w="28" w:type="dxa"/>
          <w:right w:w="28" w:type="dxa"/>
        </w:tblCellMar>
      </w:tblPr>
      <w:tblGrid>
        <w:gridCol w:w="556"/>
        <w:gridCol w:w="1351"/>
        <w:gridCol w:w="451"/>
        <w:gridCol w:w="3766"/>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PALOMAR HOLDINGS,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3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4,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76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T. Christopher Uchida</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T. Christopher Uchida</w:t>
              <w:br/>
              <w:t>Chief Financial Officer</w:t>
              <w:br/>
              <w:t>(Principal Financial and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plmr-ex99_1.htm"/>
      <w:bookmarkStart w:id="3" w:name="ksplmrex99_1"/>
      <w:bookmarkEnd w:id="2"/>
      <w:bookmarkEnd w:id="3"/>
      <w:r>
        <w:rPr>
          <w:rFonts w:ascii="Times New Roman" w:hAnsi="Times New Roman"/>
          <w:b/>
          <w:color w:val="000000"/>
          <w:sz w:val="20"/>
        </w:rPr>
        <w:t>Exhibit 99.1</w:t>
      </w:r>
      <w:r>
        <w:br w:type="page"/>
      </w:r>
    </w:p>
    <w:p>
      <w:pPr>
        <w:pStyle w:val="TextBody"/>
        <w:bidi w:val="0"/>
        <w:jc w:val="center"/>
        <w:rPr/>
      </w:pPr>
      <w:r>
        <w:rPr/>
        <w:drawing>
          <wp:inline distT="0" distB="0" distL="0" distR="0">
            <wp:extent cx="3086100" cy="428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086100" cy="428625"/>
                    </a:xfrm>
                    <a:prstGeom prst="rect">
                      <a:avLst/>
                    </a:prstGeom>
                  </pic:spPr>
                </pic:pic>
              </a:graphicData>
            </a:graphic>
          </wp:inline>
        </w:drawing>
      </w:r>
    </w:p>
    <w:p>
      <w:pPr>
        <w:pStyle w:val="TextBody"/>
        <w:bidi w:val="0"/>
        <w:jc w:val="center"/>
        <w:rPr>
          <w:rFonts w:ascii="Times New Roman" w:hAnsi="Times New Roman"/>
          <w:sz w:val="20"/>
        </w:rPr>
      </w:pPr>
      <w:bookmarkStart w:id="4" w:name="led408018f20236171689626172083"/>
      <w:bookmarkEnd w:id="4"/>
      <w:r>
        <w:rPr>
          <w:rFonts w:ascii="Times New Roman" w:hAnsi="Times New Roman"/>
          <w:b/>
          <w:color w:val="000000"/>
          <w:sz w:val="20"/>
        </w:rPr>
        <w:t xml:space="preserve">Palomar Holdings, Inc. Reports </w:t>
      </w:r>
      <w:bookmarkStart w:id="5" w:name="led408017f20236171689626157397"/>
      <w:bookmarkEnd w:id="5"/>
      <w:r>
        <w:rPr>
          <w:rFonts w:ascii="Times New Roman" w:hAnsi="Times New Roman"/>
          <w:b/>
          <w:color w:val="000000"/>
          <w:sz w:val="20"/>
        </w:rPr>
        <w:t>Second Quarter</w:t>
      </w:r>
      <w:r>
        <w:rPr>
          <w:rFonts w:ascii="Times New Roman" w:hAnsi="Times New Roman"/>
          <w:color w:val="000000"/>
          <w:sz w:val="20"/>
        </w:rPr>
        <w:t xml:space="preserve"> </w:t>
      </w:r>
      <w:r>
        <w:rPr>
          <w:rFonts w:ascii="Times New Roman" w:hAnsi="Times New Roman"/>
          <w:b/>
          <w:color w:val="000000"/>
          <w:sz w:val="20"/>
        </w:rPr>
        <w:t>2026 Results</w:t>
      </w:r>
    </w:p>
    <w:p>
      <w:pPr>
        <w:pStyle w:val="TextBody"/>
        <w:bidi w:val="0"/>
        <w:jc w:val="both"/>
        <w:rPr>
          <w:rFonts w:ascii="Times New Roman" w:hAnsi="Times New Roman"/>
          <w:sz w:val="20"/>
        </w:rPr>
      </w:pPr>
      <w:bookmarkStart w:id="6" w:name="led407436f20236171689637294624"/>
      <w:bookmarkEnd w:id="6"/>
      <w:r>
        <w:rPr>
          <w:rFonts w:ascii="Times New Roman" w:hAnsi="Times New Roman"/>
          <w:color w:val="000000"/>
          <w:sz w:val="20"/>
        </w:rPr>
        <w:t xml:space="preserve">LA JOLLA, Calif. (August 4, 2026) — Palomar Holdings, Inc. (NASDAQ:PLMR) (“Palomar” or “Company”) reported net income of $52.6 million, or </w:t>
      </w:r>
      <w:bookmarkStart w:id="7" w:name="led407435f20236261690413314302"/>
      <w:bookmarkEnd w:id="7"/>
      <w:r>
        <w:rPr>
          <w:rFonts w:ascii="Times New Roman" w:hAnsi="Times New Roman"/>
          <w:color w:val="000000"/>
          <w:sz w:val="20"/>
        </w:rPr>
        <w:t xml:space="preserve">$1.94 per diluted share, for the </w:t>
      </w:r>
      <w:bookmarkStart w:id="8" w:name="led408017f20236171689637646353"/>
      <w:bookmarkEnd w:id="8"/>
      <w:r>
        <w:rPr>
          <w:rFonts w:ascii="Times New Roman" w:hAnsi="Times New Roman"/>
          <w:color w:val="000000"/>
          <w:sz w:val="20"/>
        </w:rPr>
        <w:t>second quarter of 2026</w:t>
      </w:r>
      <w:bookmarkStart w:id="9" w:name="led408017f2024331712181622588"/>
      <w:bookmarkEnd w:id="9"/>
      <w:r>
        <w:rPr>
          <w:rFonts w:ascii="Times New Roman" w:hAnsi="Times New Roman"/>
          <w:color w:val="000000"/>
          <w:sz w:val="20"/>
        </w:rPr>
        <w:t xml:space="preserve"> compared to net income of </w:t>
      </w:r>
      <w:bookmarkStart w:id="10" w:name="led407436f20236171689637497567"/>
      <w:bookmarkEnd w:id="10"/>
      <w:r>
        <w:rPr>
          <w:rFonts w:ascii="Times New Roman" w:hAnsi="Times New Roman"/>
          <w:color w:val="000000"/>
          <w:sz w:val="20"/>
        </w:rPr>
        <w:t xml:space="preserve">$46.5 million, or </w:t>
      </w:r>
      <w:bookmarkStart w:id="11" w:name="led407435f20236261690413324922"/>
      <w:bookmarkEnd w:id="11"/>
      <w:r>
        <w:rPr>
          <w:rFonts w:ascii="Times New Roman" w:hAnsi="Times New Roman"/>
          <w:color w:val="000000"/>
          <w:sz w:val="20"/>
        </w:rPr>
        <w:t xml:space="preserve">$1.68 per diluted share, for the </w:t>
      </w:r>
      <w:bookmarkStart w:id="12" w:name="led408017f2024331712181643759"/>
      <w:bookmarkStart w:id="13" w:name="led408017f20236171689637655158"/>
      <w:bookmarkEnd w:id="12"/>
      <w:bookmarkEnd w:id="13"/>
      <w:r>
        <w:rPr>
          <w:rFonts w:ascii="Times New Roman" w:hAnsi="Times New Roman"/>
          <w:color w:val="000000"/>
          <w:sz w:val="20"/>
        </w:rPr>
        <w:t>second quarter of 2025. Adjusted net income</w:t>
      </w:r>
      <w:r>
        <w:rPr>
          <w:rFonts w:ascii="Times New Roman" w:hAnsi="Times New Roman"/>
          <w:color w:val="000000"/>
          <w:sz w:val="11"/>
        </w:rPr>
        <w:t>(1)</w:t>
      </w:r>
      <w:r>
        <w:rPr>
          <w:rFonts w:ascii="Times New Roman" w:hAnsi="Times New Roman"/>
          <w:color w:val="000000"/>
          <w:sz w:val="20"/>
        </w:rPr>
        <w:t xml:space="preserve"> was </w:t>
      </w:r>
      <w:bookmarkStart w:id="14" w:name="led407436f20236171689637542275"/>
      <w:bookmarkEnd w:id="14"/>
      <w:r>
        <w:rPr>
          <w:rFonts w:ascii="Times New Roman" w:hAnsi="Times New Roman"/>
          <w:color w:val="000000"/>
          <w:sz w:val="20"/>
        </w:rPr>
        <w:t xml:space="preserve">$63.8 million, or </w:t>
      </w:r>
      <w:bookmarkStart w:id="15" w:name="led407436f20236261690413344744"/>
      <w:bookmarkEnd w:id="15"/>
      <w:r>
        <w:rPr>
          <w:rFonts w:ascii="Times New Roman" w:hAnsi="Times New Roman"/>
          <w:color w:val="000000"/>
          <w:sz w:val="20"/>
        </w:rPr>
        <w:t xml:space="preserve">$2.36 per diluted share, for the </w:t>
      </w:r>
      <w:bookmarkStart w:id="16" w:name="led408017f20236171689637663813"/>
      <w:bookmarkEnd w:id="16"/>
      <w:r>
        <w:rPr>
          <w:rFonts w:ascii="Times New Roman" w:hAnsi="Times New Roman"/>
          <w:color w:val="000000"/>
          <w:sz w:val="20"/>
        </w:rPr>
        <w:t xml:space="preserve">second quarter of 2026 as compared to </w:t>
      </w:r>
      <w:bookmarkStart w:id="17" w:name="led407436f20236171689637559420"/>
      <w:bookmarkEnd w:id="17"/>
      <w:r>
        <w:rPr>
          <w:rFonts w:ascii="Times New Roman" w:hAnsi="Times New Roman"/>
          <w:color w:val="000000"/>
          <w:sz w:val="20"/>
        </w:rPr>
        <w:t xml:space="preserve">$48.5 million, or </w:t>
      </w:r>
      <w:bookmarkStart w:id="18" w:name="led407436f20236261690413353272"/>
      <w:bookmarkEnd w:id="18"/>
      <w:r>
        <w:rPr>
          <w:rFonts w:ascii="Times New Roman" w:hAnsi="Times New Roman"/>
          <w:color w:val="000000"/>
          <w:sz w:val="20"/>
        </w:rPr>
        <w:t xml:space="preserve">$1.76 per diluted share, for the </w:t>
      </w:r>
      <w:bookmarkStart w:id="19" w:name="led408017f2024331712181795535"/>
      <w:bookmarkStart w:id="20" w:name="led408017f20236171689637674500"/>
      <w:bookmarkEnd w:id="19"/>
      <w:bookmarkEnd w:id="20"/>
      <w:r>
        <w:rPr>
          <w:rFonts w:ascii="Times New Roman" w:hAnsi="Times New Roman"/>
          <w:color w:val="000000"/>
          <w:sz w:val="20"/>
        </w:rPr>
        <w:t>second quarter of 2025.</w:t>
      </w:r>
    </w:p>
    <w:p>
      <w:pPr>
        <w:pStyle w:val="TextBody"/>
        <w:bidi w:val="0"/>
        <w:jc w:val="both"/>
        <w:rPr>
          <w:rFonts w:ascii="Times New Roman" w:hAnsi="Times New Roman"/>
          <w:sz w:val="20"/>
        </w:rPr>
      </w:pPr>
      <w:r>
        <w:rPr>
          <w:rFonts w:ascii="Times New Roman" w:hAnsi="Times New Roman"/>
          <w:b/>
          <w:color w:val="000000"/>
          <w:sz w:val="20"/>
        </w:rPr>
        <w:t>Second Quarter 2026 Highlights</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Gross written premiums increased by 27.0% to $630.5 million compared to $496.3 million in the second quarter of 2025</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Net income increased 13.0% to $52.6 million compared to $46.5 million in the second quarter of 2025</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color w:val="000000"/>
          <w:sz w:val="20"/>
        </w:rPr>
        <w:t>Adjusted net income</w:t>
      </w:r>
      <w:r>
        <w:rPr>
          <w:rFonts w:ascii="Times New Roman" w:hAnsi="Times New Roman"/>
          <w:color w:val="000000"/>
          <w:sz w:val="11"/>
        </w:rPr>
        <w:t>(1)</w:t>
      </w:r>
      <w:r>
        <w:rPr>
          <w:color w:val="000000"/>
        </w:rPr>
        <w:t xml:space="preserve"> </w:t>
      </w:r>
      <w:r>
        <w:rPr>
          <w:rFonts w:ascii="Times New Roman" w:hAnsi="Times New Roman"/>
          <w:color w:val="000000"/>
          <w:sz w:val="20"/>
        </w:rPr>
        <w:t>increased 31.4% to $63.8 million compared to $48.5 million in the second quarter of 2025</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Diluted earnings per share increased by 15.5% to $1.94 compared to $1.68 in the second quarter of 2025</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color w:val="000000"/>
          <w:sz w:val="20"/>
        </w:rPr>
        <w:t>Diluted adjusted earnings per share</w:t>
      </w:r>
      <w:r>
        <w:rPr>
          <w:rFonts w:ascii="Times New Roman" w:hAnsi="Times New Roman"/>
          <w:color w:val="000000"/>
          <w:sz w:val="13"/>
        </w:rPr>
        <w:t>(1)</w:t>
      </w:r>
      <w:r>
        <w:rPr>
          <w:color w:val="000000"/>
        </w:rPr>
        <w:t xml:space="preserve"> </w:t>
      </w:r>
      <w:r>
        <w:rPr>
          <w:rFonts w:ascii="Times New Roman" w:hAnsi="Times New Roman"/>
          <w:color w:val="000000"/>
          <w:sz w:val="20"/>
        </w:rPr>
        <w:t>increased by 34.1% to $2.36 compared to $1.76 in the second quarter of 2025</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Total loss ratio of 34.5% compared to 25.7% in the second quarter of 2025</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Combined ratio of 83.3% compared to 78.8% in the second quarter of 2025</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color w:val="000000"/>
          <w:sz w:val="20"/>
        </w:rPr>
        <w:t>Adjusted combined ratio</w:t>
      </w:r>
      <w:r>
        <w:rPr>
          <w:rFonts w:ascii="Times New Roman" w:hAnsi="Times New Roman"/>
          <w:color w:val="000000"/>
          <w:sz w:val="11"/>
        </w:rPr>
        <w:t>(1)</w:t>
      </w:r>
      <w:r>
        <w:rPr>
          <w:color w:val="000000"/>
        </w:rPr>
        <w:t xml:space="preserve"> </w:t>
      </w:r>
      <w:r>
        <w:rPr>
          <w:rFonts w:ascii="Times New Roman" w:hAnsi="Times New Roman"/>
          <w:color w:val="000000"/>
          <w:sz w:val="20"/>
        </w:rPr>
        <w:t>of 76.7% compared to 73.1%, in the second quarter of 2025</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Annualized return on equity of 21.7% compared to 22.7% in the second quarter of 2025</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color w:val="000000"/>
          <w:sz w:val="20"/>
        </w:rPr>
        <w:t>Annualized adjusted return on equity</w:t>
      </w:r>
      <w:r>
        <w:rPr>
          <w:rFonts w:ascii="Times New Roman" w:hAnsi="Times New Roman"/>
          <w:color w:val="000000"/>
          <w:sz w:val="11"/>
        </w:rPr>
        <w:t>(1)</w:t>
      </w:r>
      <w:r>
        <w:rPr>
          <w:color w:val="000000"/>
        </w:rPr>
        <w:t xml:space="preserve"> </w:t>
      </w:r>
      <w:r>
        <w:rPr>
          <w:rFonts w:ascii="Times New Roman" w:hAnsi="Times New Roman"/>
          <w:color w:val="000000"/>
          <w:sz w:val="20"/>
        </w:rPr>
        <w:t>of 26.3% compared to 23.7% in the second quarter of 2025</w:t>
      </w:r>
    </w:p>
    <w:p>
      <w:pPr>
        <w:pStyle w:val="TextBody"/>
        <w:bidi w:val="0"/>
        <w:jc w:val="left"/>
        <w:rPr>
          <w:rFonts w:ascii="Times New Roman" w:hAnsi="Times New Roman"/>
          <w:sz w:val="20"/>
        </w:rPr>
      </w:pPr>
      <w:r>
        <w:rPr>
          <w:rFonts w:ascii="Times New Roman" w:hAnsi="Times New Roman"/>
          <w:i/>
          <w:color w:val="000000"/>
          <w:sz w:val="20"/>
        </w:rPr>
        <w:t>(1)</w:t>
      </w:r>
      <w:r>
        <w:rPr>
          <w:rFonts w:ascii="Times New Roman" w:hAnsi="Times New Roman"/>
          <w:color w:val="000000"/>
          <w:sz w:val="20"/>
        </w:rPr>
        <w:t xml:space="preserve"> </w:t>
      </w:r>
      <w:r>
        <w:rPr>
          <w:rFonts w:ascii="Times New Roman" w:hAnsi="Times New Roman"/>
          <w:i/>
          <w:color w:val="000000"/>
          <w:sz w:val="20"/>
        </w:rPr>
        <w:t xml:space="preserve">See discussion of </w:t>
      </w:r>
      <w:r>
        <w:rPr>
          <w:rFonts w:ascii="Times New Roman" w:hAnsi="Times New Roman"/>
          <w:color w:val="000000"/>
          <w:sz w:val="20"/>
        </w:rPr>
        <w:t>“</w:t>
      </w:r>
      <w:r>
        <w:rPr>
          <w:rFonts w:ascii="Times New Roman" w:hAnsi="Times New Roman"/>
          <w:i/>
          <w:color w:val="000000"/>
          <w:sz w:val="20"/>
        </w:rPr>
        <w:t>Non-GAAP and Key Performance Indicators</w:t>
      </w:r>
      <w:r>
        <w:rPr>
          <w:rFonts w:ascii="Times New Roman" w:hAnsi="Times New Roman"/>
          <w:color w:val="000000"/>
          <w:sz w:val="20"/>
        </w:rPr>
        <w:t xml:space="preserve">” </w:t>
      </w:r>
      <w:r>
        <w:rPr>
          <w:rFonts w:ascii="Times New Roman" w:hAnsi="Times New Roman"/>
          <w:i/>
          <w:color w:val="000000"/>
          <w:sz w:val="20"/>
        </w:rPr>
        <w:t>below.</w:t>
      </w:r>
    </w:p>
    <w:p>
      <w:pPr>
        <w:pStyle w:val="TextBody"/>
        <w:bidi w:val="0"/>
        <w:jc w:val="left"/>
        <w:rPr>
          <w:rFonts w:ascii="Times New Roman" w:hAnsi="Times New Roman"/>
          <w:sz w:val="20"/>
        </w:rPr>
      </w:pPr>
      <w:r>
        <w:rPr>
          <w:rFonts w:ascii="Times New Roman" w:hAnsi="Times New Roman"/>
          <w:color w:val="000000"/>
          <w:sz w:val="20"/>
        </w:rPr>
        <w:t>Mac Armstrong, Chairman and Chief Executive Officer, commented, “The second quarter of 2026 was another strong one for Palomar; highlighted by record adjusted net income, our 15</w:t>
      </w:r>
      <w:r>
        <w:rPr>
          <w:rFonts w:ascii="Times New Roman" w:hAnsi="Times New Roman"/>
          <w:color w:val="000000"/>
          <w:sz w:val="13"/>
        </w:rPr>
        <w:t>th</w:t>
      </w:r>
      <w:r>
        <w:rPr>
          <w:rFonts w:ascii="Times New Roman" w:hAnsi="Times New Roman"/>
          <w:color w:val="000000"/>
          <w:sz w:val="20"/>
        </w:rPr>
        <w:t xml:space="preserve"> consecutive earnings beat and the third increase to our full-year adjusted net income guidance. Gross written premium increased 27% year-over-year, adjusted net income grew 31%, adjusted earnings per share grew 34%, adjusted combined ratio was 77% and our adjusted return on equity was 26% - all outstanding results. Bolstering our financial performance were several operational achievements including the launch of the PLMR.Farm, our innovative crop policy administration system, and exceptional new additions to our team. These results demonstrate our ability to execute in a dynamic insurance market while maintaining discipline in underwriting and capital allocation.</w:t>
      </w:r>
    </w:p>
    <w:p>
      <w:pPr>
        <w:pStyle w:val="TextBody"/>
        <w:bidi w:val="0"/>
        <w:jc w:val="left"/>
        <w:rPr>
          <w:rFonts w:ascii="Times New Roman" w:hAnsi="Times New Roman"/>
          <w:color w:val="000000"/>
          <w:sz w:val="20"/>
        </w:rPr>
      </w:pPr>
      <w:r>
        <w:rPr>
          <w:rFonts w:ascii="Times New Roman" w:hAnsi="Times New Roman"/>
          <w:color w:val="000000"/>
          <w:sz w:val="20"/>
        </w:rPr>
        <w:t xml:space="preserve">Mr. Armstrong continued, “Our strong and consistent earnings, attractive returns and healthy balance sheet provide ample capacity to not only invest in the businesses driving our Palomar 2X strategy but also return capital to shareholders. As such our Board authorized the introduction of a quarterly dividend of $0.45 per share. Importantly, the dividend does not change our growth strategy or the execution of Palomar 2X; it only enhances our ability to create shareholder value.”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Underwriting Results</w:t>
      </w:r>
    </w:p>
    <w:p>
      <w:pPr>
        <w:pStyle w:val="TextBody"/>
        <w:bidi w:val="0"/>
        <w:jc w:val="both"/>
        <w:rPr>
          <w:rFonts w:ascii="Times New Roman" w:hAnsi="Times New Roman"/>
          <w:sz w:val="20"/>
        </w:rPr>
      </w:pPr>
      <w:bookmarkStart w:id="21" w:name="led408017f2024331712182246936"/>
      <w:bookmarkEnd w:id="21"/>
      <w:r>
        <w:rPr>
          <w:rFonts w:ascii="Times New Roman" w:hAnsi="Times New Roman"/>
          <w:color w:val="000000"/>
          <w:sz w:val="20"/>
        </w:rPr>
        <w:t xml:space="preserve">Gross written premiums increased 27.0% to $630.5 million compared to $496.3 million in the second quarter of 2025, while net earned premiums increased </w:t>
      </w:r>
      <w:bookmarkStart w:id="22" w:name="led407436f20236171689638326874"/>
      <w:bookmarkEnd w:id="22"/>
      <w:r>
        <w:rPr>
          <w:rFonts w:ascii="Times New Roman" w:hAnsi="Times New Roman"/>
          <w:color w:val="000000"/>
          <w:sz w:val="20"/>
        </w:rPr>
        <w:t xml:space="preserve">59.5% compared to the prior year’s </w:t>
      </w:r>
      <w:bookmarkStart w:id="23" w:name="led408017f2024331712182262986"/>
      <w:bookmarkEnd w:id="23"/>
      <w:r>
        <w:rPr>
          <w:rFonts w:ascii="Times New Roman" w:hAnsi="Times New Roman"/>
          <w:color w:val="000000"/>
          <w:sz w:val="20"/>
        </w:rPr>
        <w:t>second quarter.</w:t>
      </w:r>
    </w:p>
    <w:p>
      <w:pPr>
        <w:pStyle w:val="TextBody"/>
        <w:bidi w:val="0"/>
        <w:jc w:val="both"/>
        <w:rPr>
          <w:rFonts w:ascii="Times New Roman" w:hAnsi="Times New Roman"/>
          <w:sz w:val="20"/>
        </w:rPr>
      </w:pPr>
      <w:bookmarkStart w:id="24" w:name="led408017f2024331712182946015"/>
      <w:bookmarkEnd w:id="24"/>
      <w:r>
        <w:rPr>
          <w:rFonts w:ascii="Times New Roman" w:hAnsi="Times New Roman"/>
          <w:color w:val="000000"/>
          <w:sz w:val="20"/>
        </w:rPr>
        <w:t xml:space="preserve">Losses and loss adjustment expenses for the second quarter were </w:t>
      </w:r>
      <w:bookmarkStart w:id="25" w:name="led407436f20236171689638357504"/>
      <w:bookmarkEnd w:id="25"/>
      <w:r>
        <w:rPr>
          <w:rFonts w:ascii="Times New Roman" w:hAnsi="Times New Roman"/>
          <w:color w:val="000000"/>
          <w:sz w:val="20"/>
        </w:rPr>
        <w:t xml:space="preserve">$99.0 million, comprised of $99.4 million of attritional losses, offset by $0.4 million of favorable development on catastrophe events. The loss ratio for the quarter was </w:t>
      </w:r>
      <w:bookmarkStart w:id="26" w:name="led407437f20236181689640464796"/>
      <w:bookmarkEnd w:id="26"/>
      <w:r>
        <w:rPr>
          <w:rFonts w:ascii="Times New Roman" w:hAnsi="Times New Roman"/>
          <w:color w:val="000000"/>
          <w:sz w:val="20"/>
        </w:rPr>
        <w:t xml:space="preserve">34.5%, comprised of an attritional loss ratio of </w:t>
      </w:r>
      <w:bookmarkStart w:id="27" w:name="led407436f20249181729286928043"/>
      <w:bookmarkEnd w:id="27"/>
      <w:r>
        <w:rPr>
          <w:rFonts w:ascii="Times New Roman" w:hAnsi="Times New Roman"/>
          <w:color w:val="000000"/>
          <w:sz w:val="20"/>
        </w:rPr>
        <w:t>34.6% and a catastrophe loss ratio</w:t>
      </w:r>
      <w:r>
        <w:rPr>
          <w:rFonts w:ascii="Times New Roman" w:hAnsi="Times New Roman"/>
          <w:color w:val="000000"/>
          <w:sz w:val="11"/>
        </w:rPr>
        <w:t>(1)</w:t>
      </w:r>
      <w:r>
        <w:rPr>
          <w:rFonts w:ascii="Times New Roman" w:hAnsi="Times New Roman"/>
          <w:color w:val="000000"/>
          <w:sz w:val="20"/>
        </w:rPr>
        <w:t xml:space="preserve"> of </w:t>
      </w:r>
      <w:bookmarkStart w:id="28" w:name="led407436f20236181689640492809"/>
      <w:bookmarkEnd w:id="28"/>
      <w:r>
        <w:rPr>
          <w:rFonts w:ascii="Times New Roman" w:hAnsi="Times New Roman"/>
          <w:color w:val="000000"/>
          <w:sz w:val="20"/>
        </w:rPr>
        <w:t xml:space="preserve">-0.1% compared to a loss ratio of </w:t>
      </w:r>
      <w:bookmarkStart w:id="29" w:name="led407437f20236181689640527307"/>
      <w:bookmarkEnd w:id="29"/>
      <w:r>
        <w:rPr>
          <w:rFonts w:ascii="Times New Roman" w:hAnsi="Times New Roman"/>
          <w:color w:val="000000"/>
          <w:sz w:val="20"/>
        </w:rPr>
        <w:t>25.7% during the same period last year comprised entirely of attritional losses. Additionally, our second quarter results include $14.1 million of attritional and $0.2 million of catastrophe loss favorable prior year development. The majority of the attritional loss prior year favorability related to Inland Marine and Property lines and previous years’ Crop results.</w:t>
      </w:r>
    </w:p>
    <w:p>
      <w:pPr>
        <w:pStyle w:val="TextBody"/>
        <w:bidi w:val="0"/>
        <w:jc w:val="both"/>
        <w:rPr>
          <w:rFonts w:ascii="Times New Roman" w:hAnsi="Times New Roman"/>
          <w:sz w:val="20"/>
        </w:rPr>
      </w:pPr>
      <w:bookmarkStart w:id="30" w:name="led408017f2024331712182797011"/>
      <w:bookmarkEnd w:id="30"/>
      <w:r>
        <w:rPr>
          <w:rFonts w:ascii="Times New Roman" w:hAnsi="Times New Roman"/>
          <w:color w:val="000000"/>
          <w:sz w:val="20"/>
        </w:rPr>
        <w:t>Underwriting income</w:t>
      </w:r>
      <w:r>
        <w:rPr>
          <w:rFonts w:ascii="Times New Roman" w:hAnsi="Times New Roman"/>
          <w:color w:val="000000"/>
          <w:sz w:val="11"/>
        </w:rPr>
        <w:t>(1)</w:t>
      </w:r>
      <w:r>
        <w:rPr>
          <w:rFonts w:ascii="Times New Roman" w:hAnsi="Times New Roman"/>
          <w:color w:val="000000"/>
          <w:sz w:val="20"/>
        </w:rPr>
        <w:t xml:space="preserve"> for the second quarter was $48.0 million resulting in a combined ratio of </w:t>
      </w:r>
      <w:bookmarkStart w:id="31" w:name="led407437f20236181689640235609"/>
      <w:bookmarkEnd w:id="31"/>
      <w:r>
        <w:rPr>
          <w:rFonts w:ascii="Times New Roman" w:hAnsi="Times New Roman"/>
          <w:color w:val="000000"/>
          <w:sz w:val="20"/>
        </w:rPr>
        <w:t xml:space="preserve">83.3% compared to underwriting income of $38.3 million resulting in a combined ratio of </w:t>
      </w:r>
      <w:bookmarkStart w:id="32" w:name="led407437f20236181689640225139"/>
      <w:bookmarkEnd w:id="32"/>
      <w:r>
        <w:rPr>
          <w:rFonts w:ascii="Times New Roman" w:hAnsi="Times New Roman"/>
          <w:color w:val="000000"/>
          <w:sz w:val="20"/>
        </w:rPr>
        <w:t>78.8% during the same period last year. The Company’s adjusted underwriting income</w:t>
      </w:r>
      <w:r>
        <w:rPr>
          <w:rFonts w:ascii="Times New Roman" w:hAnsi="Times New Roman"/>
          <w:color w:val="000000"/>
          <w:sz w:val="11"/>
        </w:rPr>
        <w:t>(1)</w:t>
      </w:r>
      <w:r>
        <w:rPr>
          <w:rFonts w:ascii="Times New Roman" w:hAnsi="Times New Roman"/>
          <w:color w:val="000000"/>
          <w:sz w:val="20"/>
        </w:rPr>
        <w:t xml:space="preserve"> was </w:t>
      </w:r>
      <w:bookmarkStart w:id="33" w:name="led407454f20236181689640136684"/>
      <w:bookmarkEnd w:id="33"/>
      <w:r>
        <w:rPr>
          <w:rFonts w:ascii="Times New Roman" w:hAnsi="Times New Roman"/>
          <w:color w:val="000000"/>
          <w:sz w:val="20"/>
        </w:rPr>
        <w:t>$67.0 million, an increase of 38.4%, resulting in an adjusted combined ratio</w:t>
      </w:r>
      <w:r>
        <w:rPr>
          <w:rFonts w:ascii="Times New Roman" w:hAnsi="Times New Roman"/>
          <w:color w:val="000000"/>
          <w:sz w:val="11"/>
        </w:rPr>
        <w:t>(1)</w:t>
      </w:r>
      <w:r>
        <w:rPr>
          <w:rFonts w:ascii="Times New Roman" w:hAnsi="Times New Roman"/>
          <w:color w:val="000000"/>
          <w:sz w:val="20"/>
        </w:rPr>
        <w:t xml:space="preserve"> of </w:t>
      </w:r>
      <w:bookmarkStart w:id="34" w:name="led407437f20236181689640249387"/>
      <w:bookmarkEnd w:id="34"/>
      <w:r>
        <w:rPr>
          <w:rFonts w:ascii="Times New Roman" w:hAnsi="Times New Roman"/>
          <w:color w:val="000000"/>
          <w:sz w:val="20"/>
        </w:rPr>
        <w:t>76.7% in the second quarter compared to adjusted underwriting income</w:t>
      </w:r>
      <w:r>
        <w:rPr>
          <w:rFonts w:ascii="Times New Roman" w:hAnsi="Times New Roman"/>
          <w:color w:val="000000"/>
          <w:sz w:val="11"/>
        </w:rPr>
        <w:t xml:space="preserve">(1) </w:t>
      </w:r>
      <w:r>
        <w:rPr>
          <w:rFonts w:ascii="Times New Roman" w:hAnsi="Times New Roman"/>
          <w:color w:val="000000"/>
          <w:sz w:val="20"/>
        </w:rPr>
        <w:t xml:space="preserve">of </w:t>
      </w:r>
      <w:bookmarkStart w:id="35" w:name="led407454f20236181689640148857"/>
      <w:bookmarkEnd w:id="35"/>
      <w:r>
        <w:rPr>
          <w:rFonts w:ascii="Times New Roman" w:hAnsi="Times New Roman"/>
          <w:color w:val="000000"/>
          <w:sz w:val="20"/>
        </w:rPr>
        <w:t>$48.4 million and an adjusted combined ratio</w:t>
      </w:r>
      <w:r>
        <w:rPr>
          <w:rFonts w:ascii="Times New Roman" w:hAnsi="Times New Roman"/>
          <w:color w:val="000000"/>
          <w:sz w:val="11"/>
        </w:rPr>
        <w:t>(1)</w:t>
      </w:r>
      <w:r>
        <w:rPr>
          <w:rFonts w:ascii="Times New Roman" w:hAnsi="Times New Roman"/>
          <w:color w:val="000000"/>
          <w:sz w:val="20"/>
        </w:rPr>
        <w:t xml:space="preserve"> of </w:t>
      </w:r>
      <w:bookmarkStart w:id="36" w:name="led407437f20236181689640259324"/>
      <w:bookmarkEnd w:id="36"/>
      <w:r>
        <w:rPr>
          <w:rFonts w:ascii="Times New Roman" w:hAnsi="Times New Roman"/>
          <w:color w:val="000000"/>
          <w:sz w:val="20"/>
        </w:rPr>
        <w:t>73.1% during the same period last year. The Company’s adjusted combined ratio excluding catastrophe losses</w:t>
      </w:r>
      <w:r>
        <w:rPr>
          <w:rFonts w:ascii="Times New Roman" w:hAnsi="Times New Roman"/>
          <w:color w:val="000000"/>
          <w:sz w:val="11"/>
        </w:rPr>
        <w:t>(1)</w:t>
      </w:r>
      <w:r>
        <w:rPr>
          <w:rFonts w:ascii="Times New Roman" w:hAnsi="Times New Roman"/>
          <w:color w:val="000000"/>
          <w:sz w:val="20"/>
        </w:rPr>
        <w:t xml:space="preserve"> was 76.8% compared to 73.1% during the same period last year.</w:t>
      </w:r>
    </w:p>
    <w:p>
      <w:pPr>
        <w:pStyle w:val="TextBody"/>
        <w:bidi w:val="0"/>
        <w:jc w:val="both"/>
        <w:rPr>
          <w:rFonts w:ascii="Times New Roman" w:hAnsi="Times New Roman"/>
          <w:b/>
          <w:color w:val="000000"/>
          <w:sz w:val="20"/>
          <w:u w:val="single"/>
        </w:rPr>
      </w:pPr>
      <w:r>
        <w:rPr>
          <w:rFonts w:ascii="Times New Roman" w:hAnsi="Times New Roman"/>
          <w:b/>
          <w:color w:val="000000"/>
          <w:sz w:val="20"/>
          <w:u w:val="single"/>
        </w:rPr>
        <w:t>Investment Results</w:t>
      </w:r>
    </w:p>
    <w:p>
      <w:pPr>
        <w:pStyle w:val="TextBody"/>
        <w:bidi w:val="0"/>
        <w:jc w:val="both"/>
        <w:rPr>
          <w:rFonts w:ascii="Times New Roman" w:hAnsi="Times New Roman"/>
          <w:sz w:val="20"/>
        </w:rPr>
      </w:pPr>
      <w:bookmarkStart w:id="37" w:name="led407436f20236181689638927702"/>
      <w:bookmarkEnd w:id="37"/>
      <w:r>
        <w:rPr>
          <w:rFonts w:ascii="Times New Roman" w:hAnsi="Times New Roman"/>
          <w:color w:val="000000"/>
          <w:sz w:val="20"/>
        </w:rPr>
        <w:t xml:space="preserve">Net investment income increased by 49.2% to </w:t>
      </w:r>
      <w:bookmarkStart w:id="38" w:name="led407436f20236181689638943346"/>
      <w:bookmarkEnd w:id="38"/>
      <w:r>
        <w:rPr>
          <w:rFonts w:ascii="Times New Roman" w:hAnsi="Times New Roman"/>
          <w:color w:val="000000"/>
          <w:sz w:val="20"/>
        </w:rPr>
        <w:t xml:space="preserve">$20.0 million compared to </w:t>
      </w:r>
      <w:bookmarkStart w:id="39" w:name="led407436f20236181689638960057"/>
      <w:bookmarkEnd w:id="39"/>
      <w:r>
        <w:rPr>
          <w:rFonts w:ascii="Times New Roman" w:hAnsi="Times New Roman"/>
          <w:color w:val="000000"/>
          <w:sz w:val="20"/>
        </w:rPr>
        <w:t xml:space="preserve">$13.4 million in the prior year’s </w:t>
      </w:r>
      <w:bookmarkStart w:id="40" w:name="led408017f2024331712182788300"/>
      <w:bookmarkEnd w:id="40"/>
      <w:r>
        <w:rPr>
          <w:rFonts w:ascii="Times New Roman" w:hAnsi="Times New Roman"/>
          <w:color w:val="000000"/>
          <w:sz w:val="20"/>
        </w:rPr>
        <w:t xml:space="preserve">second quarter. The increase was primarily due to higher yields on invested assets and a higher average balance of investments held during the three months ended </w:t>
      </w:r>
      <w:bookmarkStart w:id="41" w:name="led408017f2024331712182572102"/>
      <w:bookmarkEnd w:id="41"/>
      <w:r>
        <w:rPr>
          <w:rFonts w:ascii="Times New Roman" w:hAnsi="Times New Roman"/>
          <w:color w:val="000000"/>
          <w:sz w:val="20"/>
        </w:rPr>
        <w:t xml:space="preserve">June 30, 2026 due to cash generated from operations. The weighted average duration of the fixed-maturity investment portfolio,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bookmarkStart w:id="42" w:name="led408017f2024331712182737801"/>
      <w:bookmarkEnd w:id="42"/>
      <w:r>
        <w:rPr>
          <w:rFonts w:ascii="Times New Roman" w:hAnsi="Times New Roman"/>
          <w:color w:val="000000"/>
          <w:sz w:val="20"/>
        </w:rPr>
        <w:t xml:space="preserve">including cash equivalents, was 4.33 years at June 30, 2026. Cash and invested assets totaled $1.7 billion at June 30, 2026. During the second quarter, the Company recorded </w:t>
      </w:r>
      <w:bookmarkStart w:id="43" w:name="led407436f20249181729287221091"/>
      <w:bookmarkEnd w:id="43"/>
      <w:r>
        <w:rPr>
          <w:rFonts w:ascii="Times New Roman" w:hAnsi="Times New Roman"/>
          <w:color w:val="000000"/>
          <w:sz w:val="20"/>
        </w:rPr>
        <w:t xml:space="preserve">$6.8 million net realized and unrealized gains related to its investment portfolio as compared to net realized and unrealized gains of </w:t>
      </w:r>
      <w:bookmarkStart w:id="44" w:name="led407436f20236181689639361060"/>
      <w:bookmarkEnd w:id="44"/>
      <w:r>
        <w:rPr>
          <w:rFonts w:ascii="Times New Roman" w:hAnsi="Times New Roman"/>
          <w:color w:val="000000"/>
          <w:sz w:val="20"/>
        </w:rPr>
        <w:t>$8.3 million during the same period last year.</w:t>
      </w:r>
    </w:p>
    <w:p>
      <w:pPr>
        <w:pStyle w:val="TextBody"/>
        <w:bidi w:val="0"/>
        <w:jc w:val="both"/>
        <w:rPr>
          <w:rFonts w:ascii="Times New Roman" w:hAnsi="Times New Roman"/>
          <w:b/>
          <w:color w:val="000000"/>
          <w:sz w:val="20"/>
          <w:u w:val="single"/>
        </w:rPr>
      </w:pPr>
      <w:r>
        <w:rPr>
          <w:rFonts w:ascii="Times New Roman" w:hAnsi="Times New Roman"/>
          <w:b/>
          <w:color w:val="000000"/>
          <w:sz w:val="20"/>
          <w:u w:val="single"/>
        </w:rPr>
        <w:t>Tax Rate</w:t>
      </w:r>
    </w:p>
    <w:p>
      <w:pPr>
        <w:pStyle w:val="TextBody"/>
        <w:bidi w:val="0"/>
        <w:jc w:val="both"/>
        <w:rPr>
          <w:rFonts w:ascii="Times New Roman" w:hAnsi="Times New Roman"/>
          <w:sz w:val="20"/>
        </w:rPr>
      </w:pPr>
      <w:bookmarkStart w:id="45" w:name="led407436f20236181689638872134"/>
      <w:bookmarkEnd w:id="45"/>
      <w:r>
        <w:rPr>
          <w:rFonts w:ascii="Times New Roman" w:hAnsi="Times New Roman"/>
          <w:color w:val="000000"/>
          <w:sz w:val="20"/>
        </w:rPr>
        <w:t xml:space="preserve">The effective tax rate for the three months ended June 30, 2026 was 24.7% compared to </w:t>
      </w:r>
      <w:bookmarkStart w:id="46" w:name="led407436f20236181689638881861"/>
      <w:bookmarkEnd w:id="46"/>
      <w:r>
        <w:rPr>
          <w:rFonts w:ascii="Times New Roman" w:hAnsi="Times New Roman"/>
          <w:color w:val="000000"/>
          <w:sz w:val="20"/>
        </w:rPr>
        <w:t xml:space="preserve">22.3% for the three months ended </w:t>
      </w:r>
      <w:bookmarkStart w:id="47" w:name="led408017f2024331712182583385"/>
      <w:bookmarkEnd w:id="47"/>
      <w:r>
        <w:rPr>
          <w:rFonts w:ascii="Times New Roman" w:hAnsi="Times New Roman"/>
          <w:color w:val="000000"/>
          <w:sz w:val="20"/>
        </w:rPr>
        <w:t>June 30, 2025. For the current quarter, the Company’s income tax rate differed from the statutory rate of 21% due primarily to the non-deductible executive compensation expense.</w:t>
      </w:r>
    </w:p>
    <w:p>
      <w:pPr>
        <w:pStyle w:val="TextBody"/>
        <w:bidi w:val="0"/>
        <w:jc w:val="both"/>
        <w:rPr>
          <w:rFonts w:ascii="Times New Roman" w:hAnsi="Times New Roman"/>
          <w:sz w:val="20"/>
        </w:rPr>
      </w:pPr>
      <w:r>
        <w:rPr>
          <w:rFonts w:ascii="Times New Roman" w:hAnsi="Times New Roman"/>
          <w:b/>
          <w:color w:val="000000"/>
          <w:sz w:val="20"/>
          <w:u w:val="single"/>
        </w:rPr>
        <w:t>Stockholders</w:t>
      </w:r>
      <w:r>
        <w:rPr>
          <w:rFonts w:ascii="Times New Roman" w:hAnsi="Times New Roman"/>
          <w:color w:val="000000"/>
          <w:sz w:val="20"/>
          <w:u w:val="single"/>
        </w:rPr>
        <w:t xml:space="preserve">’ </w:t>
      </w:r>
      <w:r>
        <w:rPr>
          <w:rFonts w:ascii="Times New Roman" w:hAnsi="Times New Roman"/>
          <w:b/>
          <w:color w:val="000000"/>
          <w:sz w:val="20"/>
          <w:u w:val="single"/>
        </w:rPr>
        <w:t>Equity and Capital Matters</w:t>
      </w:r>
    </w:p>
    <w:p>
      <w:pPr>
        <w:pStyle w:val="TextBody"/>
        <w:bidi w:val="0"/>
        <w:jc w:val="both"/>
        <w:rPr>
          <w:rFonts w:ascii="Times New Roman" w:hAnsi="Times New Roman"/>
          <w:sz w:val="20"/>
        </w:rPr>
      </w:pPr>
      <w:bookmarkStart w:id="48" w:name="led407397f20236181689638637594"/>
      <w:bookmarkEnd w:id="48"/>
      <w:r>
        <w:rPr>
          <w:rFonts w:ascii="Times New Roman" w:hAnsi="Times New Roman"/>
          <w:color w:val="000000"/>
          <w:sz w:val="20"/>
        </w:rPr>
        <w:t xml:space="preserve">Stockholders’ equity was $980.9 million at June 30, 2026, compared to $847.2 million at June 30, 2025. For the three months ended June 30, 2026, the Company’s annualized return on equity was </w:t>
      </w:r>
      <w:bookmarkStart w:id="49" w:name="led407437f20236181689638733820"/>
      <w:bookmarkEnd w:id="49"/>
      <w:r>
        <w:rPr>
          <w:rFonts w:ascii="Times New Roman" w:hAnsi="Times New Roman"/>
          <w:color w:val="000000"/>
          <w:sz w:val="20"/>
        </w:rPr>
        <w:t xml:space="preserve">21.7% compared to </w:t>
      </w:r>
      <w:bookmarkStart w:id="50" w:name="led407437f20236181689638747424"/>
      <w:bookmarkEnd w:id="50"/>
      <w:r>
        <w:rPr>
          <w:rFonts w:ascii="Times New Roman" w:hAnsi="Times New Roman"/>
          <w:color w:val="000000"/>
          <w:sz w:val="20"/>
        </w:rPr>
        <w:t>22.7% for the same period in the prior year while adjusted return on equity</w:t>
      </w:r>
      <w:r>
        <w:rPr>
          <w:rFonts w:ascii="Times New Roman" w:hAnsi="Times New Roman"/>
          <w:color w:val="000000"/>
          <w:sz w:val="11"/>
        </w:rPr>
        <w:t>(1)</w:t>
      </w:r>
      <w:r>
        <w:rPr>
          <w:rFonts w:ascii="Times New Roman" w:hAnsi="Times New Roman"/>
          <w:color w:val="000000"/>
          <w:sz w:val="20"/>
        </w:rPr>
        <w:t xml:space="preserve"> was </w:t>
      </w:r>
      <w:bookmarkStart w:id="51" w:name="led407437f20236181689638761420"/>
      <w:bookmarkEnd w:id="51"/>
      <w:r>
        <w:rPr>
          <w:rFonts w:ascii="Times New Roman" w:hAnsi="Times New Roman"/>
          <w:color w:val="000000"/>
          <w:sz w:val="20"/>
        </w:rPr>
        <w:t xml:space="preserve">26.3% compared to </w:t>
      </w:r>
      <w:bookmarkStart w:id="52" w:name="led407437f20236181689638771440"/>
      <w:bookmarkEnd w:id="52"/>
      <w:r>
        <w:rPr>
          <w:rFonts w:ascii="Times New Roman" w:hAnsi="Times New Roman"/>
          <w:color w:val="000000"/>
          <w:sz w:val="20"/>
        </w:rPr>
        <w:t xml:space="preserve">23.7% for the same period in the prior year.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During the current quarter, the Company repurchased 368,719 shares of its common stock for $41.0 million.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July 30, 2026, the Company’s Board of Directors declared an initial quarterly cash dividend of $0.45 per share of common stock, payable on September 2, 2026, to stockholders of record as of August 19, 2026.</w:t>
      </w:r>
    </w:p>
    <w:p>
      <w:pPr>
        <w:pStyle w:val="TextBody"/>
        <w:bidi w:val="0"/>
        <w:jc w:val="left"/>
        <w:rPr/>
      </w:pPr>
      <w:r>
        <w:rPr/>
        <w:t> </w:t>
      </w:r>
    </w:p>
    <w:p>
      <w:pPr>
        <w:pStyle w:val="TextBody"/>
        <w:bidi w:val="0"/>
        <w:jc w:val="both"/>
        <w:rPr>
          <w:rFonts w:ascii="Times New Roman" w:hAnsi="Times New Roman"/>
          <w:b/>
          <w:color w:val="000000"/>
          <w:sz w:val="20"/>
          <w:u w:val="single"/>
        </w:rPr>
      </w:pPr>
      <w:r>
        <w:rPr>
          <w:rFonts w:ascii="Times New Roman" w:hAnsi="Times New Roman"/>
          <w:b/>
          <w:color w:val="000000"/>
          <w:sz w:val="20"/>
          <w:u w:val="single"/>
        </w:rPr>
        <w:t>Full Year 2026 Outlook</w:t>
      </w:r>
    </w:p>
    <w:p>
      <w:pPr>
        <w:pStyle w:val="TextBody"/>
        <w:bidi w:val="0"/>
        <w:jc w:val="both"/>
        <w:rPr>
          <w:rFonts w:ascii="Times New Roman" w:hAnsi="Times New Roman"/>
          <w:color w:val="000000"/>
          <w:sz w:val="20"/>
        </w:rPr>
      </w:pPr>
      <w:r>
        <w:rPr>
          <w:rFonts w:ascii="Times New Roman" w:hAnsi="Times New Roman"/>
          <w:color w:val="000000"/>
          <w:sz w:val="20"/>
        </w:rPr>
        <w:t>For the full year 2026, the Company expects to achieve adjusted net income of $270 million to $280 million. This includes an estimate of $8 million to $12 million of catastrophe losses for the year.</w:t>
      </w:r>
    </w:p>
    <w:p>
      <w:pPr>
        <w:pStyle w:val="TextBody"/>
        <w:bidi w:val="0"/>
        <w:jc w:val="both"/>
        <w:rPr>
          <w:rFonts w:ascii="Times New Roman" w:hAnsi="Times New Roman"/>
          <w:b/>
          <w:color w:val="000000"/>
          <w:sz w:val="20"/>
          <w:u w:val="single"/>
        </w:rPr>
      </w:pPr>
      <w:r>
        <w:rPr>
          <w:rFonts w:ascii="Times New Roman" w:hAnsi="Times New Roman"/>
          <w:b/>
          <w:color w:val="000000"/>
          <w:sz w:val="20"/>
          <w:u w:val="single"/>
        </w:rPr>
        <w:t>Conference Call</w:t>
      </w:r>
    </w:p>
    <w:p>
      <w:pPr>
        <w:pStyle w:val="TextBody"/>
        <w:bidi w:val="0"/>
        <w:jc w:val="both"/>
        <w:rPr>
          <w:rFonts w:ascii="Times New Roman" w:hAnsi="Times New Roman"/>
          <w:sz w:val="20"/>
        </w:rPr>
      </w:pPr>
      <w:bookmarkStart w:id="53" w:name="led408017f2024331712182462999"/>
      <w:bookmarkEnd w:id="53"/>
      <w:r>
        <w:rPr>
          <w:rFonts w:ascii="Times New Roman" w:hAnsi="Times New Roman"/>
          <w:color w:val="000000"/>
          <w:sz w:val="20"/>
        </w:rPr>
        <w:t xml:space="preserve">As previously announced, Palomar will host a conference call on Wednesday, August 5, 2026, to discuss its second quarter 2026 results at 12:00 p.m. (Eastern Time). The conference call can be accessed live by dialing 1-877-423-9813 or for international callers, 1-201-689-8573, and requesting to be joined to the Palomar </w:t>
      </w:r>
      <w:bookmarkStart w:id="54" w:name="led408017f2024331712182503669"/>
      <w:bookmarkEnd w:id="54"/>
      <w:r>
        <w:rPr>
          <w:rFonts w:ascii="Times New Roman" w:hAnsi="Times New Roman"/>
          <w:color w:val="000000"/>
          <w:sz w:val="20"/>
        </w:rPr>
        <w:t xml:space="preserve">Second Quarter </w:t>
      </w:r>
      <w:bookmarkStart w:id="55" w:name="led408017f2024331712182514412"/>
      <w:bookmarkEnd w:id="55"/>
      <w:r>
        <w:rPr>
          <w:rFonts w:ascii="Times New Roman" w:hAnsi="Times New Roman"/>
          <w:color w:val="000000"/>
          <w:sz w:val="20"/>
        </w:rPr>
        <w:t>2026 Earnings Conference Call. A replay will be available starting at 4:00 p.m. (Eastern Time) on August 5, 2026, and can be accessed by dialing 1-844-512-2921, or for international callers, 1-412-317-6671. The passcode for the replay is 13761138. The replay will be available until 11:59 p.m. (Eastern Time) on August 19, 2026.</w:t>
      </w:r>
    </w:p>
    <w:p>
      <w:pPr>
        <w:pStyle w:val="TextBody"/>
        <w:bidi w:val="0"/>
        <w:jc w:val="both"/>
        <w:rPr>
          <w:rFonts w:ascii="Times New Roman" w:hAnsi="Times New Roman"/>
          <w:color w:val="000000"/>
          <w:sz w:val="20"/>
        </w:rPr>
      </w:pPr>
      <w:r>
        <w:rPr>
          <w:rFonts w:ascii="Times New Roman" w:hAnsi="Times New Roman"/>
          <w:color w:val="000000"/>
          <w:sz w:val="20"/>
        </w:rPr>
        <w:t>Interested investors and other parties may also listen to a simultaneous webcast of the conference call by logging onto the investor relations section of the Company’s website at http://ir.palomarspecialty.com/. The online replay will remain available for a limited time beginning immediately following the call.</w:t>
      </w:r>
    </w:p>
    <w:p>
      <w:pPr>
        <w:pStyle w:val="TextBody"/>
        <w:bidi w:val="0"/>
        <w:jc w:val="both"/>
        <w:rPr>
          <w:rFonts w:ascii="Times New Roman" w:hAnsi="Times New Roman"/>
          <w:b/>
          <w:color w:val="000000"/>
          <w:sz w:val="20"/>
          <w:u w:val="single"/>
        </w:rPr>
      </w:pPr>
      <w:r>
        <w:rPr>
          <w:rFonts w:ascii="Times New Roman" w:hAnsi="Times New Roman"/>
          <w:b/>
          <w:color w:val="000000"/>
          <w:sz w:val="20"/>
          <w:u w:val="single"/>
        </w:rPr>
        <w:t>About Palomar Holdings, Inc.</w:t>
      </w:r>
    </w:p>
    <w:p>
      <w:pPr>
        <w:pStyle w:val="TextBody"/>
        <w:bidi w:val="0"/>
        <w:jc w:val="both"/>
        <w:rPr>
          <w:rFonts w:ascii="Times New Roman" w:hAnsi="Times New Roman"/>
          <w:color w:val="000000"/>
          <w:sz w:val="20"/>
        </w:rPr>
      </w:pPr>
      <w:r>
        <w:rPr>
          <w:rFonts w:ascii="Times New Roman" w:hAnsi="Times New Roman"/>
          <w:color w:val="000000"/>
          <w:sz w:val="20"/>
        </w:rPr>
        <w:t>Palomar Holdings, Inc. is the holding company of subsidiaries Palomar Specialty Insurance Company (“PSIC”), Palomar Specialty Reinsurance Company Bermuda Ltd. (“PSRE”), Palomar Insurance Agency, Inc., Palomar Excess and Surplus Insurance Company (“PESIC”), Palomar Underwriters Exchange Organization, Inc. (“PUEO”), First Indemnity of America Insurance Co. (“FIA”), Palomar Crop Insurance Services, Inc. (“PCIS”), and Palomar Casualty and Surety Company (“PCSC”). Palomar’s consolidated results also include Laulima Exchange (“Laulima”), a variable interest entity for which the Company is the primary beneficiary. Palomar is an innovative specialty insurer serving residential and commercial clients in five product categories: Earthquake, Inland Marine and Property, Casualty, Surety &amp; Credit, and Crop. Palomar’s insurance subsidiaries, PSIC, PSRE, PESIC, and FIA have a financial strength rating of “A” (Excellent) from A.M. Best and PCSC has a financial strength rating of “A-” (Excellent) from A.M. Best.</w:t>
      </w:r>
    </w:p>
    <w:p>
      <w:pPr>
        <w:pStyle w:val="TextBody"/>
        <w:bidi w:val="0"/>
        <w:jc w:val="both"/>
        <w:rPr>
          <w:rFonts w:ascii="Times New Roman" w:hAnsi="Times New Roman"/>
          <w:color w:val="000000"/>
          <w:sz w:val="20"/>
        </w:rPr>
      </w:pPr>
      <w:r>
        <w:rPr>
          <w:rFonts w:ascii="Times New Roman" w:hAnsi="Times New Roman"/>
          <w:color w:val="000000"/>
          <w:sz w:val="20"/>
        </w:rPr>
        <w:t>To learn more, visit PLMR.com.</w:t>
      </w:r>
    </w:p>
    <w:p>
      <w:pPr>
        <w:pStyle w:val="TextBody"/>
        <w:bidi w:val="0"/>
        <w:jc w:val="both"/>
        <w:rPr>
          <w:rFonts w:ascii="Times New Roman" w:hAnsi="Times New Roman"/>
          <w:b/>
          <w:color w:val="000000"/>
          <w:sz w:val="20"/>
        </w:rPr>
      </w:pPr>
      <w:r>
        <w:rPr>
          <w:rFonts w:ascii="Times New Roman" w:hAnsi="Times New Roman"/>
          <w:b/>
          <w:color w:val="000000"/>
          <w:sz w:val="20"/>
        </w:rPr>
        <w:t>Non-GAAP and Key Performance Indicators</w:t>
      </w:r>
    </w:p>
    <w:p>
      <w:pPr>
        <w:pStyle w:val="TextBody"/>
        <w:bidi w:val="0"/>
        <w:jc w:val="both"/>
        <w:rPr>
          <w:rFonts w:ascii="Times New Roman" w:hAnsi="Times New Roman"/>
          <w:color w:val="000000"/>
          <w:sz w:val="20"/>
        </w:rPr>
      </w:pPr>
      <w:r>
        <w:rPr>
          <w:rFonts w:ascii="Times New Roman" w:hAnsi="Times New Roman"/>
          <w:color w:val="000000"/>
          <w:sz w:val="20"/>
        </w:rPr>
        <w:t>Palomar discusses certain key performance indicators, described below, which provide useful information about the Company’s business and the operational factors underlying the Company’s financial performance. Management uses these non-GAAP measures internally to evaluate the Company’s underlying business performance and operating results, and to make resource allocation and strategic decisions. Management believes that disclosure of these measures provides investors with the same insight used internally to assess the Company’s operating performance.</w:t>
      </w:r>
    </w:p>
    <w:p>
      <w:pPr>
        <w:pStyle w:val="TextBody"/>
        <w:bidi w:val="0"/>
        <w:jc w:val="both"/>
        <w:rPr>
          <w:rFonts w:ascii="Times New Roman" w:hAnsi="Times New Roman"/>
          <w:sz w:val="20"/>
        </w:rPr>
      </w:pPr>
      <w:r>
        <w:rPr>
          <w:rFonts w:ascii="Times New Roman" w:hAnsi="Times New Roman"/>
          <w:i/>
          <w:color w:val="000000"/>
          <w:sz w:val="20"/>
        </w:rPr>
        <w:t>Underwriting revenue</w:t>
      </w:r>
      <w:r>
        <w:rPr>
          <w:rFonts w:ascii="Times New Roman" w:hAnsi="Times New Roman"/>
          <w:color w:val="000000"/>
          <w:sz w:val="20"/>
        </w:rPr>
        <w:t xml:space="preserve"> is a non-GAAP financial measure defined as total revenue, excluding net investment income and net realized and unrealized gains and losses on investments. See “Reconciliation of Non-GAAP Financial Measures” for a reconciliation of total revenue calculated in accordance with GAAP to underwriting revenue.</w:t>
      </w:r>
    </w:p>
    <w:p>
      <w:pPr>
        <w:pStyle w:val="TextBody"/>
        <w:bidi w:val="0"/>
        <w:jc w:val="both"/>
        <w:rPr>
          <w:rFonts w:ascii="Times New Roman" w:hAnsi="Times New Roman"/>
          <w:sz w:val="20"/>
        </w:rPr>
      </w:pPr>
      <w:r>
        <w:rPr>
          <w:rFonts w:ascii="Times New Roman" w:hAnsi="Times New Roman"/>
          <w:i/>
          <w:color w:val="000000"/>
          <w:sz w:val="20"/>
        </w:rPr>
        <w:t>Underwriting income</w:t>
      </w:r>
      <w:r>
        <w:rPr>
          <w:rFonts w:ascii="Times New Roman" w:hAnsi="Times New Roman"/>
          <w:color w:val="000000"/>
          <w:sz w:val="20"/>
        </w:rPr>
        <w:t xml:space="preserve"> is a non-GAAP financial measure defined as income before income taxes excluding net investment income, net realized and unrealized gains and losses on investments, and interest expense. See “Reconciliation of Non-GAAP Financial Measures” for a reconciliation of income before income taxes calculated in accordance with GAAP to underwriting income.</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i/>
          <w:color w:val="000000"/>
          <w:sz w:val="20"/>
        </w:rPr>
        <w:t>Adjusted net income</w:t>
      </w:r>
      <w:r>
        <w:rPr>
          <w:rFonts w:ascii="Times New Roman" w:hAnsi="Times New Roman"/>
          <w:color w:val="000000"/>
          <w:sz w:val="20"/>
        </w:rPr>
        <w:t xml:space="preserve"> is a non-GAAP financial measure defined as net income excluding the impact of certain items that may not be indicative of underlying business trends, operating results, or future outlook, net of tax impact. Palomar calculates the tax impact only on adjustments which would be included in calculating the Company’s income tax expense using the estimated tax rate at which the company received a deduction for these adjustments. See “Reconciliation of Non-GAAP Financial Measures” for a reconciliation of net income calculated in accordance with GAAP to adjusted net income.</w:t>
      </w:r>
    </w:p>
    <w:p>
      <w:pPr>
        <w:pStyle w:val="TextBody"/>
        <w:bidi w:val="0"/>
        <w:jc w:val="both"/>
        <w:rPr>
          <w:rFonts w:ascii="Times New Roman" w:hAnsi="Times New Roman"/>
          <w:sz w:val="20"/>
        </w:rPr>
      </w:pPr>
      <w:r>
        <w:rPr>
          <w:rFonts w:ascii="Times New Roman" w:hAnsi="Times New Roman"/>
          <w:i/>
          <w:color w:val="000000"/>
          <w:sz w:val="20"/>
        </w:rPr>
        <w:t>Annualized Return on equity</w:t>
      </w:r>
      <w:r>
        <w:rPr>
          <w:rFonts w:ascii="Times New Roman" w:hAnsi="Times New Roman"/>
          <w:color w:val="000000"/>
          <w:sz w:val="20"/>
        </w:rPr>
        <w:t xml:space="preserve"> is net income expressed on an annualized basis as a percentage of average beginning and ending stockholders’ equity during the period.</w:t>
      </w:r>
    </w:p>
    <w:p>
      <w:pPr>
        <w:pStyle w:val="TextBody"/>
        <w:bidi w:val="0"/>
        <w:jc w:val="both"/>
        <w:rPr>
          <w:rFonts w:ascii="Times New Roman" w:hAnsi="Times New Roman"/>
          <w:sz w:val="20"/>
        </w:rPr>
      </w:pPr>
      <w:r>
        <w:rPr>
          <w:rFonts w:ascii="Times New Roman" w:hAnsi="Times New Roman"/>
          <w:i/>
          <w:color w:val="000000"/>
          <w:sz w:val="20"/>
        </w:rPr>
        <w:t>Annualized adjusted return on equity</w:t>
      </w:r>
      <w:r>
        <w:rPr>
          <w:rFonts w:ascii="Times New Roman" w:hAnsi="Times New Roman"/>
          <w:color w:val="000000"/>
          <w:sz w:val="20"/>
        </w:rPr>
        <w:t xml:space="preserve"> is a non-GAAP financial measure defined as adjusted net income expressed on an annualized basis as a percentage of average beginning and ending stockholders’ equity during the period. See “Reconciliation of Non-GAAP Financial Measures” for a reconciliation of return on equity calculated using unadjusted GAAP numbers to adjusted return on equity.</w:t>
      </w:r>
    </w:p>
    <w:p>
      <w:pPr>
        <w:pStyle w:val="TextBody"/>
        <w:bidi w:val="0"/>
        <w:jc w:val="both"/>
        <w:rPr>
          <w:rFonts w:ascii="Times New Roman" w:hAnsi="Times New Roman"/>
          <w:sz w:val="20"/>
        </w:rPr>
      </w:pPr>
      <w:r>
        <w:rPr>
          <w:rFonts w:ascii="Times New Roman" w:hAnsi="Times New Roman"/>
          <w:i/>
          <w:color w:val="000000"/>
          <w:sz w:val="20"/>
        </w:rPr>
        <w:t>Loss ratio</w:t>
      </w:r>
      <w:r>
        <w:rPr>
          <w:rFonts w:ascii="Times New Roman" w:hAnsi="Times New Roman"/>
          <w:color w:val="000000"/>
          <w:sz w:val="20"/>
        </w:rPr>
        <w:t>, expressed as a percentage, is the ratio of losses and loss adjustment expenses, to net earned premiums.</w:t>
      </w:r>
    </w:p>
    <w:p>
      <w:pPr>
        <w:pStyle w:val="TextBody"/>
        <w:bidi w:val="0"/>
        <w:jc w:val="both"/>
        <w:rPr>
          <w:rFonts w:ascii="Times New Roman" w:hAnsi="Times New Roman"/>
          <w:sz w:val="20"/>
        </w:rPr>
      </w:pPr>
      <w:r>
        <w:rPr>
          <w:rFonts w:ascii="Times New Roman" w:hAnsi="Times New Roman"/>
          <w:i/>
          <w:color w:val="000000"/>
          <w:sz w:val="20"/>
        </w:rPr>
        <w:t>Expense ratio,</w:t>
      </w:r>
      <w:r>
        <w:rPr>
          <w:rFonts w:ascii="Times New Roman" w:hAnsi="Times New Roman"/>
          <w:color w:val="000000"/>
          <w:sz w:val="20"/>
        </w:rPr>
        <w:t xml:space="preserve"> expressed as a percentage, is the ratio of acquisition and other underwriting expenses, net of commission and other income to net earned premiums.</w:t>
      </w:r>
    </w:p>
    <w:p>
      <w:pPr>
        <w:pStyle w:val="TextBody"/>
        <w:bidi w:val="0"/>
        <w:jc w:val="both"/>
        <w:rPr>
          <w:rFonts w:ascii="Times New Roman" w:hAnsi="Times New Roman"/>
          <w:sz w:val="20"/>
        </w:rPr>
      </w:pPr>
      <w:r>
        <w:rPr>
          <w:rFonts w:ascii="Times New Roman" w:hAnsi="Times New Roman"/>
          <w:i/>
          <w:color w:val="000000"/>
          <w:sz w:val="20"/>
        </w:rPr>
        <w:t>Combined ratio</w:t>
      </w:r>
      <w:r>
        <w:rPr>
          <w:rFonts w:ascii="Times New Roman" w:hAnsi="Times New Roman"/>
          <w:color w:val="000000"/>
          <w:sz w:val="20"/>
        </w:rPr>
        <w:t xml:space="preserve"> is defined as the sum of the loss ratio and the expense ratio. A combined ratio under 100% generally indicates an underwriting profit. A combined ratio over 100% generally indicates an underwriting loss.</w:t>
      </w:r>
    </w:p>
    <w:p>
      <w:pPr>
        <w:pStyle w:val="TextBody"/>
        <w:bidi w:val="0"/>
        <w:jc w:val="both"/>
        <w:rPr>
          <w:rFonts w:ascii="Times New Roman" w:hAnsi="Times New Roman"/>
          <w:sz w:val="20"/>
        </w:rPr>
      </w:pPr>
      <w:r>
        <w:rPr>
          <w:rFonts w:ascii="Times New Roman" w:hAnsi="Times New Roman"/>
          <w:i/>
          <w:color w:val="000000"/>
          <w:sz w:val="20"/>
        </w:rPr>
        <w:t>Adjusted combined ratio</w:t>
      </w:r>
      <w:r>
        <w:rPr>
          <w:rFonts w:ascii="Times New Roman" w:hAnsi="Times New Roman"/>
          <w:color w:val="000000"/>
          <w:sz w:val="20"/>
        </w:rPr>
        <w:t xml:space="preserve"> is a non-GAAP financial measure defined as the sum of the loss ratio and the expense ratio calculated excluding the impact of certain items that may not be indicative of underlying business trends, operating results, or future outlook. See “Reconciliation of Non-GAAP Financial Measures” for a reconciliation of combined ratio calculated using unadjusted GAAP numbers to adjusted combined ratio.</w:t>
      </w:r>
    </w:p>
    <w:p>
      <w:pPr>
        <w:pStyle w:val="TextBody"/>
        <w:bidi w:val="0"/>
        <w:jc w:val="both"/>
        <w:rPr>
          <w:rFonts w:ascii="Times New Roman" w:hAnsi="Times New Roman"/>
          <w:sz w:val="20"/>
        </w:rPr>
      </w:pPr>
      <w:r>
        <w:rPr>
          <w:rFonts w:ascii="Times New Roman" w:hAnsi="Times New Roman"/>
          <w:i/>
          <w:color w:val="000000"/>
          <w:sz w:val="20"/>
        </w:rPr>
        <w:t>Diluted adjusted earnings per share</w:t>
      </w:r>
      <w:r>
        <w:rPr>
          <w:rFonts w:ascii="Times New Roman" w:hAnsi="Times New Roman"/>
          <w:color w:val="000000"/>
          <w:sz w:val="20"/>
        </w:rPr>
        <w:t xml:space="preserve"> is a non-GAAP financial measure defined as adjusted net income divided by the weighted-average common shares outstanding for the period, reflecting the dilution which could occur if equity-based awards are converted into common share equivalents as calculated using the treasury stock method. See “Reconciliation of Non-GAAP Financial Measures” for a reconciliation of diluted earnings per share calculated in accordance with GAAP to diluted adjusted earnings per share.</w:t>
      </w:r>
    </w:p>
    <w:p>
      <w:pPr>
        <w:pStyle w:val="TextBody"/>
        <w:bidi w:val="0"/>
        <w:jc w:val="both"/>
        <w:rPr>
          <w:rFonts w:ascii="Times New Roman" w:hAnsi="Times New Roman"/>
          <w:sz w:val="20"/>
        </w:rPr>
      </w:pPr>
      <w:r>
        <w:rPr>
          <w:rFonts w:ascii="Times New Roman" w:hAnsi="Times New Roman"/>
          <w:i/>
          <w:color w:val="000000"/>
          <w:sz w:val="20"/>
        </w:rPr>
        <w:t>Catastrophe loss ratio</w:t>
      </w:r>
      <w:r>
        <w:rPr>
          <w:rFonts w:ascii="Times New Roman" w:hAnsi="Times New Roman"/>
          <w:color w:val="000000"/>
          <w:sz w:val="20"/>
        </w:rPr>
        <w:t xml:space="preserve"> is a non-GAAP financial measure defined as the ratio of catastrophe losses to net earned premiums. See “Reconciliation of Non-GAAP Financial Measures” for a reconciliation of loss ratio calculated using unadjusted GAAP numbers to catastrophe loss ratio.</w:t>
      </w:r>
    </w:p>
    <w:p>
      <w:pPr>
        <w:pStyle w:val="TextBody"/>
        <w:bidi w:val="0"/>
        <w:jc w:val="both"/>
        <w:rPr>
          <w:rFonts w:ascii="Times New Roman" w:hAnsi="Times New Roman"/>
          <w:sz w:val="20"/>
        </w:rPr>
      </w:pPr>
      <w:r>
        <w:rPr>
          <w:rFonts w:ascii="Times New Roman" w:hAnsi="Times New Roman"/>
          <w:i/>
          <w:color w:val="000000"/>
          <w:sz w:val="20"/>
        </w:rPr>
        <w:t>Adjusted combined ratio excluding catastrophe losses</w:t>
      </w:r>
      <w:r>
        <w:rPr>
          <w:rFonts w:ascii="Times New Roman" w:hAnsi="Times New Roman"/>
          <w:color w:val="000000"/>
          <w:sz w:val="20"/>
        </w:rPr>
        <w:t xml:space="preserve"> is a non-GAAP financial measure defined as adjusted combined ratio excluding the impact of catastrophe losses. See “Reconciliation of Non-GAAP Financial Measures” for a reconciliation of combined ratio calculated using unadjusted GAAP numbers to adjusted combined ratio excluding catastrophe losses.</w:t>
      </w:r>
    </w:p>
    <w:p>
      <w:pPr>
        <w:pStyle w:val="TextBody"/>
        <w:bidi w:val="0"/>
        <w:jc w:val="both"/>
        <w:rPr>
          <w:rFonts w:ascii="Times New Roman" w:hAnsi="Times New Roman"/>
          <w:sz w:val="20"/>
        </w:rPr>
      </w:pPr>
      <w:r>
        <w:rPr>
          <w:rFonts w:ascii="Times New Roman" w:hAnsi="Times New Roman"/>
          <w:i/>
          <w:color w:val="000000"/>
          <w:sz w:val="20"/>
        </w:rPr>
        <w:t>Adjusted underwriting income</w:t>
      </w:r>
      <w:r>
        <w:rPr>
          <w:rFonts w:ascii="Times New Roman" w:hAnsi="Times New Roman"/>
          <w:color w:val="000000"/>
          <w:sz w:val="20"/>
        </w:rPr>
        <w:t xml:space="preserve"> is a non-GAAP financial measure defined as underwriting income excluding the impact of certain items that may not be indicative of underlying business trends, operating results, or future outlook. See “Reconciliation of Non-GAAP Financial Measures” for a reconciliation of income before income taxes calculated in accordance with GAAP to adjusted underwriting income.</w:t>
      </w:r>
    </w:p>
    <w:p>
      <w:pPr>
        <w:pStyle w:val="TextBody"/>
        <w:bidi w:val="0"/>
        <w:jc w:val="both"/>
        <w:rPr>
          <w:rFonts w:ascii="Times New Roman" w:hAnsi="Times New Roman"/>
          <w:sz w:val="20"/>
        </w:rPr>
      </w:pPr>
      <w:r>
        <w:rPr>
          <w:rFonts w:ascii="Times New Roman" w:hAnsi="Times New Roman"/>
          <w:i/>
          <w:color w:val="000000"/>
          <w:sz w:val="20"/>
        </w:rPr>
        <w:t>Tangible stockholders</w:t>
      </w:r>
      <w:r>
        <w:rPr>
          <w:rFonts w:ascii="Times New Roman" w:hAnsi="Times New Roman"/>
          <w:color w:val="000000"/>
          <w:sz w:val="20"/>
        </w:rPr>
        <w:t xml:space="preserve">’ </w:t>
      </w:r>
      <w:r>
        <w:rPr>
          <w:rFonts w:ascii="Times New Roman" w:hAnsi="Times New Roman"/>
          <w:i/>
          <w:color w:val="000000"/>
          <w:sz w:val="20"/>
        </w:rPr>
        <w:t>equity</w:t>
      </w:r>
      <w:r>
        <w:rPr>
          <w:rFonts w:ascii="Times New Roman" w:hAnsi="Times New Roman"/>
          <w:color w:val="000000"/>
          <w:sz w:val="20"/>
        </w:rPr>
        <w:t xml:space="preserve"> is a non-GAAP financial measure defined as stockholders’ equity less goodwill and intangible assets. See “Reconciliation of Non-GAAP Financial Measures” for a reconciliation of stockholders’ equity calculated in accordance with GAAP to tangible stockholders’ equity.</w:t>
      </w:r>
    </w:p>
    <w:p>
      <w:pPr>
        <w:pStyle w:val="TextBody"/>
        <w:bidi w:val="0"/>
        <w:jc w:val="both"/>
        <w:rPr>
          <w:rFonts w:ascii="Times New Roman" w:hAnsi="Times New Roman"/>
          <w:b/>
          <w:color w:val="000000"/>
          <w:sz w:val="20"/>
        </w:rPr>
      </w:pPr>
      <w:r>
        <w:rPr>
          <w:rFonts w:ascii="Times New Roman" w:hAnsi="Times New Roman"/>
          <w:b/>
          <w:color w:val="000000"/>
          <w:sz w:val="20"/>
        </w:rPr>
        <w:t>Safe Harbor Statement</w:t>
      </w:r>
    </w:p>
    <w:p>
      <w:pPr>
        <w:pStyle w:val="TextBody"/>
        <w:bidi w:val="0"/>
        <w:jc w:val="both"/>
        <w:rPr>
          <w:rFonts w:ascii="Times New Roman" w:hAnsi="Times New Roman"/>
          <w:color w:val="000000"/>
          <w:sz w:val="20"/>
        </w:rPr>
      </w:pPr>
      <w:r>
        <w:rPr>
          <w:rFonts w:ascii="Times New Roman" w:hAnsi="Times New Roman"/>
          <w:color w:val="000000"/>
          <w:sz w:val="20"/>
        </w:rPr>
        <w:t xml:space="preserve">Palomar cautions you that statements contained in this press release may regard matters that are not historical facts but are forward-looking statements. These statements are based on the company’s current beliefs and expectations. The inclusion of forward-looking statements should not be regarded as a representation by Palomar that any of its plans will be achieved. Actual results may differ from those set forth in this press release due to the risks and uncertainties inherent in the Company’s business. The forward-looking statements are typically, but not always, identified through use of the words “believe,” “expect,” “enable,” “may,” “will,” “could,” “intends,” “estimate,” “anticipate,” “plan,” “predict,” “probable,” “potential,” “possible,” “should,” “continue,” and other words of similar meaning. Actual results could differ materially from the expectations contained in forward-looking statements as a result of several factors, including unexpected expenditures and costs, unexpected results or delays in development and regulatory review, regulatory approval requirements, the frequency and severity of adverse events and competitive conditions. These and other factors that may result in differences are discussed in greater detail in the Company’s filings with the Securities and Exchange Commission. You are cautioned not to place undue reliance on these forward-looking statements, which speak only as of the date hereof, and the Company undertakes no obligation to update such statements to reflect events that occur or circumstances that exist after the date hereof. All forward-looking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statements are qualified in their entirety by this cautionary statement, which is made under the safe harbor provisions of the Private Securities Litigation Reform Act of 1995.</w:t>
      </w:r>
    </w:p>
    <w:p>
      <w:pPr>
        <w:pStyle w:val="TextBody"/>
        <w:bidi w:val="0"/>
        <w:jc w:val="left"/>
        <w:rPr>
          <w:rFonts w:ascii="Times New Roman" w:hAnsi="Times New Roman"/>
          <w:b/>
          <w:color w:val="000000"/>
          <w:sz w:val="20"/>
        </w:rPr>
      </w:pPr>
      <w:r>
        <w:rPr>
          <w:rFonts w:ascii="Times New Roman" w:hAnsi="Times New Roman"/>
          <w:b/>
          <w:color w:val="000000"/>
          <w:sz w:val="20"/>
        </w:rPr>
        <w:t>Contact</w:t>
      </w:r>
    </w:p>
    <w:p>
      <w:pPr>
        <w:pStyle w:val="TextBody"/>
        <w:bidi w:val="0"/>
        <w:jc w:val="left"/>
        <w:rPr>
          <w:rFonts w:ascii="Times New Roman" w:hAnsi="Times New Roman"/>
          <w:color w:val="000000"/>
          <w:sz w:val="20"/>
        </w:rPr>
      </w:pPr>
      <w:r>
        <w:rPr>
          <w:rFonts w:ascii="Times New Roman" w:hAnsi="Times New Roman"/>
          <w:color w:val="000000"/>
          <w:sz w:val="20"/>
        </w:rPr>
        <w:t xml:space="preserve">Media Inquiries </w:t>
      </w:r>
    </w:p>
    <w:p>
      <w:pPr>
        <w:pStyle w:val="TextBody"/>
        <w:bidi w:val="0"/>
        <w:jc w:val="left"/>
        <w:rPr>
          <w:rFonts w:ascii="Times New Roman" w:hAnsi="Times New Roman"/>
          <w:color w:val="000000"/>
          <w:sz w:val="20"/>
        </w:rPr>
      </w:pPr>
      <w:r>
        <w:rPr>
          <w:rFonts w:ascii="Times New Roman" w:hAnsi="Times New Roman"/>
          <w:color w:val="000000"/>
          <w:sz w:val="20"/>
        </w:rPr>
        <w:t xml:space="preserve">Lindsay Conner </w:t>
      </w:r>
    </w:p>
    <w:p>
      <w:pPr>
        <w:pStyle w:val="TextBody"/>
        <w:bidi w:val="0"/>
        <w:jc w:val="left"/>
        <w:rPr>
          <w:rFonts w:ascii="Times New Roman" w:hAnsi="Times New Roman"/>
          <w:color w:val="000000"/>
          <w:sz w:val="20"/>
        </w:rPr>
      </w:pPr>
      <w:r>
        <w:rPr>
          <w:rFonts w:ascii="Times New Roman" w:hAnsi="Times New Roman"/>
          <w:color w:val="000000"/>
          <w:sz w:val="20"/>
        </w:rPr>
        <w:t xml:space="preserve">1-551-206-6217 </w:t>
      </w:r>
    </w:p>
    <w:p>
      <w:pPr>
        <w:pStyle w:val="TextBody"/>
        <w:bidi w:val="0"/>
        <w:jc w:val="left"/>
        <w:rPr>
          <w:rFonts w:ascii="Times New Roman" w:hAnsi="Times New Roman"/>
          <w:color w:val="000000"/>
          <w:sz w:val="20"/>
        </w:rPr>
      </w:pPr>
      <w:r>
        <w:rPr>
          <w:rFonts w:ascii="Times New Roman" w:hAnsi="Times New Roman"/>
          <w:color w:val="000000"/>
          <w:sz w:val="20"/>
        </w:rPr>
        <w:t xml:space="preserve">lconner@plmr.com </w:t>
      </w:r>
    </w:p>
    <w:p>
      <w:pPr>
        <w:pStyle w:val="TextBody"/>
        <w:bidi w:val="0"/>
        <w:jc w:val="left"/>
        <w:rPr>
          <w:rFonts w:ascii="Times New Roman" w:hAnsi="Times New Roman"/>
          <w:color w:val="000000"/>
          <w:sz w:val="20"/>
        </w:rPr>
      </w:pPr>
      <w:r>
        <w:rPr>
          <w:rFonts w:ascii="Times New Roman" w:hAnsi="Times New Roman"/>
          <w:color w:val="000000"/>
          <w:sz w:val="20"/>
        </w:rPr>
        <w:t>Investor Relations</w:t>
      </w:r>
    </w:p>
    <w:p>
      <w:pPr>
        <w:pStyle w:val="TextBody"/>
        <w:bidi w:val="0"/>
        <w:jc w:val="left"/>
        <w:rPr>
          <w:rFonts w:ascii="Times New Roman" w:hAnsi="Times New Roman"/>
          <w:color w:val="000000"/>
          <w:sz w:val="20"/>
        </w:rPr>
      </w:pPr>
      <w:r>
        <w:rPr>
          <w:rFonts w:ascii="Times New Roman" w:hAnsi="Times New Roman"/>
          <w:color w:val="000000"/>
          <w:sz w:val="20"/>
        </w:rPr>
        <w:t>Jamie Lillis</w:t>
      </w:r>
    </w:p>
    <w:p>
      <w:pPr>
        <w:pStyle w:val="TextBody"/>
        <w:bidi w:val="0"/>
        <w:jc w:val="left"/>
        <w:rPr>
          <w:rFonts w:ascii="Times New Roman" w:hAnsi="Times New Roman"/>
          <w:color w:val="000000"/>
          <w:sz w:val="20"/>
        </w:rPr>
      </w:pPr>
      <w:r>
        <w:rPr>
          <w:rFonts w:ascii="Times New Roman" w:hAnsi="Times New Roman"/>
          <w:color w:val="000000"/>
          <w:sz w:val="20"/>
        </w:rPr>
        <w:t>1-203-428-3223</w:t>
      </w:r>
    </w:p>
    <w:p>
      <w:pPr>
        <w:pStyle w:val="TextBody"/>
        <w:bidi w:val="0"/>
        <w:jc w:val="left"/>
        <w:rPr>
          <w:rFonts w:ascii="Times New Roman" w:hAnsi="Times New Roman"/>
          <w:color w:val="000000"/>
          <w:sz w:val="20"/>
        </w:rPr>
      </w:pPr>
      <w:r>
        <w:rPr>
          <w:rFonts w:ascii="Times New Roman" w:hAnsi="Times New Roman"/>
          <w:color w:val="000000"/>
          <w:sz w:val="20"/>
        </w:rPr>
        <w:t>investors@plmr.com</w:t>
      </w:r>
    </w:p>
    <w:p>
      <w:pPr>
        <w:pStyle w:val="TextBody"/>
        <w:bidi w:val="0"/>
        <w:jc w:val="left"/>
        <w:rPr>
          <w:rFonts w:ascii="Times New Roman" w:hAnsi="Times New Roman"/>
          <w:color w:val="000000"/>
          <w:sz w:val="20"/>
        </w:rPr>
      </w:pPr>
      <w:r>
        <w:rPr>
          <w:rFonts w:ascii="Times New Roman" w:hAnsi="Times New Roman"/>
          <w:color w:val="000000"/>
          <w:sz w:val="20"/>
        </w:rPr>
        <w:t>Source: Palomar Holdings, Inc.</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i/>
          <w:color w:val="000000"/>
          <w:sz w:val="20"/>
        </w:rPr>
        <w:t>Summary of Operating Results</w:t>
      </w:r>
      <w:r>
        <w:rPr>
          <w:rFonts w:ascii="Times New Roman" w:hAnsi="Times New Roman"/>
          <w:color w:val="000000"/>
          <w:sz w:val="20"/>
        </w:rPr>
        <w:t>:</w:t>
      </w:r>
    </w:p>
    <w:p>
      <w:pPr>
        <w:pStyle w:val="TextBody"/>
        <w:bidi w:val="0"/>
        <w:jc w:val="left"/>
        <w:rPr>
          <w:rFonts w:ascii="Times New Roman" w:hAnsi="Times New Roman"/>
          <w:color w:val="000000"/>
          <w:sz w:val="20"/>
        </w:rPr>
      </w:pPr>
      <w:r>
        <w:rPr>
          <w:rFonts w:ascii="Times New Roman" w:hAnsi="Times New Roman"/>
          <w:color w:val="000000"/>
          <w:sz w:val="20"/>
        </w:rPr>
        <w:t>The following tables summarize the Company’s results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4268"/>
        <w:gridCol w:w="146"/>
        <w:gridCol w:w="211"/>
        <w:gridCol w:w="841"/>
        <w:gridCol w:w="271"/>
        <w:gridCol w:w="146"/>
        <w:gridCol w:w="211"/>
        <w:gridCol w:w="841"/>
        <w:gridCol w:w="271"/>
        <w:gridCol w:w="146"/>
        <w:gridCol w:w="211"/>
        <w:gridCol w:w="781"/>
        <w:gridCol w:w="166"/>
        <w:gridCol w:w="146"/>
        <w:gridCol w:w="201"/>
        <w:gridCol w:w="790"/>
        <w:gridCol w:w="558"/>
      </w:tblGrid>
      <w:tr>
        <w:trPr/>
        <w:tc>
          <w:tcPr>
            <w:tcW w:w="42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r>
      <w:tr>
        <w:trPr/>
        <w:tc>
          <w:tcPr>
            <w:tcW w:w="4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5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3"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 except per share data)</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written premiums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630,456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496,288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Ceded written premiums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(305,279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(266,506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5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written premiums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325,177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229,782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earned premiums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286,951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179,958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Commission and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w:t>
            </w:r>
          </w:p>
        </w:tc>
        <w:tc>
          <w:tcPr>
            <w:tcW w:w="5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Total underwriting revenue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287,720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181,635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Losses and loss adjustment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98,988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46,183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expenses, net of ceding commissions and fronting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71,256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underwriting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69,429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45,525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w:t>
            </w:r>
          </w:p>
        </w:tc>
        <w:tc>
          <w:tcPr>
            <w:tcW w:w="5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Underwriting income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48,047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38,290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realized and unrealized gains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5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59,880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17,211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5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52,592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46,528</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realized and unrealized gains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 associated with transactions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intangibles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 associated with catastrophe bond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impact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5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b/>
                <w:color w:val="000000"/>
                <w:sz w:val="20"/>
              </w:rPr>
              <w:t xml:space="preserve">Adjusted net income </w:t>
            </w:r>
            <w:r>
              <w:rPr>
                <w:rFonts w:ascii="Times New Roman" w:hAnsi="Times New Roman"/>
                <w:b/>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63,768</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48,532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Key Financial and Operating Metrics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Annualized return on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Annualized adjusted return on equity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ratio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 ratio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Combined ratio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Adjusted combined ratio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Diluted adjusted earnings per share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Catastrophe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Catastrophe loss ratio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Adjusted combined ratio excluding catastrophe losses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Adjusted underwriting income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67,001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48,398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NM - not meaningful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Indicates Non-GAAP financial measure - see above for definition of Non-GAAP financial measures and see below for reconciliation of Non-GAAP financial measures to their most directly comparable measures prepared in accordance with GAAP.</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4179"/>
        <w:gridCol w:w="146"/>
        <w:gridCol w:w="211"/>
        <w:gridCol w:w="931"/>
        <w:gridCol w:w="271"/>
        <w:gridCol w:w="146"/>
        <w:gridCol w:w="211"/>
        <w:gridCol w:w="841"/>
        <w:gridCol w:w="271"/>
        <w:gridCol w:w="146"/>
        <w:gridCol w:w="211"/>
        <w:gridCol w:w="781"/>
        <w:gridCol w:w="166"/>
        <w:gridCol w:w="146"/>
        <w:gridCol w:w="201"/>
        <w:gridCol w:w="790"/>
        <w:gridCol w:w="557"/>
      </w:tblGrid>
      <w:tr>
        <w:trPr/>
        <w:tc>
          <w:tcPr>
            <w:tcW w:w="41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r>
      <w:tr>
        <w:trPr/>
        <w:tc>
          <w:tcPr>
            <w:tcW w:w="4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5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23"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 except per share data)</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written premiums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1,260,284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938,452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321,832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Ceded written premiums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(597,192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(497,251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5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7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written premiums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663,092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441,201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221,891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earned premiums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548,389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344,029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204,360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Commission and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5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7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Total underwriting revenue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550,567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346,536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204,031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Losses and loss adjustment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186,085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84,927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expenses, net of ceding commissions and fronting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141,571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97,996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underwriting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134,336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81,258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w:t>
            </w:r>
          </w:p>
        </w:tc>
        <w:tc>
          <w:tcPr>
            <w:tcW w:w="5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7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Underwriting income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88,575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82,355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37,934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25,441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realized and unrealized gains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123,264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113,593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27,725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24,143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5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7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95,539</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89,450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realized and unrealized gains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 associated with transactions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160.9</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intangibles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 associated with catastrophe bond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impact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284.8</w:t>
            </w:r>
          </w:p>
        </w:tc>
        <w:tc>
          <w:tcPr>
            <w:tcW w:w="5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7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b/>
                <w:color w:val="000000"/>
                <w:sz w:val="20"/>
              </w:rPr>
              <w:t>Adjusted net income</w:t>
            </w:r>
            <w:r>
              <w:rPr>
                <w:rFonts w:ascii="Times New Roman" w:hAnsi="Times New Roman"/>
                <w:color w:val="000000"/>
                <w:sz w:val="20"/>
              </w:rPr>
              <w:t> </w:t>
            </w:r>
            <w:r>
              <w:rPr>
                <w:rFonts w:ascii="Times New Roman" w:hAnsi="Times New Roman"/>
                <w:b/>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126,904</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99,837</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Key Financial and Operating Metrics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Annualized return on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Annualized adjusted return on equity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ratio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 ratio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Combined ratio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Adjusted combined ratio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Diluted adjusted earnings per share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Catastrophe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Catastrophe loss ratio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Adjusted combined ratio excluding catastrophe losses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Adjusted underwriting income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129,776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NM - not meaningful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Indicates Non-GAAP financial measure - see above for definition of Non-GAAP financial measures and see below for reconciliation of Non-GAAP financial measures to their most directly comparable measures prepared in accordance with GAAP.</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i/>
          <w:color w:val="000000"/>
          <w:sz w:val="20"/>
        </w:rPr>
      </w:pPr>
      <w:r>
        <w:rPr>
          <w:rFonts w:ascii="Times New Roman" w:hAnsi="Times New Roman"/>
          <w:i/>
          <w:color w:val="000000"/>
          <w:sz w:val="20"/>
        </w:rPr>
        <w:t>Condensed Consolidated Balance sheets</w:t>
      </w:r>
    </w:p>
    <w:p>
      <w:pPr>
        <w:pStyle w:val="TextBody"/>
        <w:bidi w:val="0"/>
        <w:jc w:val="center"/>
        <w:rPr>
          <w:rFonts w:ascii="Times New Roman" w:hAnsi="Times New Roman"/>
          <w:sz w:val="20"/>
        </w:rPr>
      </w:pPr>
      <w:r>
        <w:rPr>
          <w:rFonts w:ascii="Times New Roman" w:hAnsi="Times New Roman"/>
          <w:b/>
          <w:color w:val="000000"/>
          <w:sz w:val="20"/>
        </w:rPr>
        <w:t>Palomar Holdings,</w:t>
      </w:r>
      <w:r>
        <w:rPr>
          <w:rFonts w:ascii="Times New Roman" w:hAnsi="Times New Roman"/>
          <w:color w:val="000000"/>
          <w:sz w:val="20"/>
        </w:rPr>
        <w:t xml:space="preserve"> </w:t>
      </w:r>
      <w:r>
        <w:rPr>
          <w:rFonts w:ascii="Times New Roman" w:hAnsi="Times New Roman"/>
          <w:b/>
          <w:color w:val="000000"/>
          <w:sz w:val="20"/>
        </w:rPr>
        <w:t>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Balance Sheets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par value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004"/>
        <w:gridCol w:w="146"/>
        <w:gridCol w:w="211"/>
        <w:gridCol w:w="931"/>
        <w:gridCol w:w="166"/>
        <w:gridCol w:w="146"/>
        <w:gridCol w:w="219"/>
        <w:gridCol w:w="969"/>
        <w:gridCol w:w="413"/>
      </w:tblGrid>
      <w:tr>
        <w:trPr/>
        <w:tc>
          <w:tcPr>
            <w:tcW w:w="70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70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Fixed maturity securities available for sale, at fair value (amortized cost: $1,523,005 in 2026; $1,227,605 in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1,502,860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1,224,187</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 securities, at fair value (cost: $109,595 in 2026; $81,772 in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99,333</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28,503</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1,678,252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1,352,023</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106,875</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11,545</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Premiums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655,876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452,908</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policy acquisition costs, net of ceding commissions and fronting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127,718</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Reinsurance recoverable on paid losses and loss adjustment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56,428</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Reinsurance recoverable on unpaid losses and loss adjustment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523,790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412,273</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Ceded unearned premiums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445,449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355,918</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110,896</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tax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2,551</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 and 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236,756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61,054</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3,964,165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3,050,967</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 and other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115,663</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Reserve for losses and loss adjustment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944,737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688,231</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Unearned premiums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1,226,105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988,143</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Ceded premium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295,430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271,413</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Funds held under reinsurance treaty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44,850</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295,773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tax liabilities,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2,983,223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2,108,300</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$0.0001 par value, 5,000,000 shares authorized, 0 shares issued and outstanding as of June 30, 2026 and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$0.0001 par value, 500,000,000 shares authorized, 26,186,979 and 26,520,417 shares issued and outstanding as of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542,662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523,168</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(2,506</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453,436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422,002</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980,942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942,667</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3,964,165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3,050,967</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i/>
          <w:color w:val="000000"/>
          <w:sz w:val="20"/>
        </w:rPr>
      </w:pPr>
      <w:r>
        <w:rPr>
          <w:rFonts w:ascii="Times New Roman" w:hAnsi="Times New Roman"/>
          <w:i/>
          <w:color w:val="000000"/>
          <w:sz w:val="20"/>
        </w:rPr>
        <w:t>Condensed Consolidated Income Statement</w:t>
      </w:r>
    </w:p>
    <w:p>
      <w:pPr>
        <w:pStyle w:val="TextBody"/>
        <w:bidi w:val="0"/>
        <w:jc w:val="center"/>
        <w:rPr>
          <w:rFonts w:ascii="Times New Roman" w:hAnsi="Times New Roman"/>
          <w:sz w:val="20"/>
        </w:rPr>
      </w:pPr>
      <w:r>
        <w:rPr>
          <w:rFonts w:ascii="Times New Roman" w:hAnsi="Times New Roman"/>
          <w:b/>
          <w:color w:val="000000"/>
          <w:sz w:val="20"/>
        </w:rPr>
        <w:t>Palomar Holdings,</w:t>
      </w:r>
      <w:r>
        <w:rPr>
          <w:rFonts w:ascii="Times New Roman" w:hAnsi="Times New Roman"/>
          <w:color w:val="000000"/>
          <w:sz w:val="20"/>
        </w:rPr>
        <w:t xml:space="preserve"> </w:t>
      </w:r>
      <w:r>
        <w:rPr>
          <w:rFonts w:ascii="Times New Roman" w:hAnsi="Times New Roman"/>
          <w:b/>
          <w:color w:val="000000"/>
          <w:sz w:val="20"/>
        </w:rPr>
        <w:t>Inc. and Subsidiaries</w:t>
      </w:r>
    </w:p>
    <w:p>
      <w:pPr>
        <w:pStyle w:val="TextBody"/>
        <w:bidi w:val="0"/>
        <w:jc w:val="center"/>
        <w:rPr>
          <w:rFonts w:ascii="Times New Roman" w:hAnsi="Times New Roman"/>
          <w:sz w:val="20"/>
        </w:rPr>
      </w:pPr>
      <w:r>
        <w:rPr>
          <w:rFonts w:ascii="Times New Roman" w:hAnsi="Times New Roman"/>
          <w:b/>
          <w:color w:val="000000"/>
          <w:sz w:val="20"/>
        </w:rPr>
        <w:t>Condensed Consolidated Statements of</w:t>
      </w:r>
      <w:r>
        <w:rPr>
          <w:rFonts w:ascii="Times New Roman" w:hAnsi="Times New Roman"/>
          <w:color w:val="000000"/>
          <w:sz w:val="20"/>
        </w:rPr>
        <w:t xml:space="preserve"> </w:t>
      </w:r>
      <w:r>
        <w:rPr>
          <w:rFonts w:ascii="Times New Roman" w:hAnsi="Times New Roman"/>
          <w:b/>
          <w:color w:val="000000"/>
          <w:sz w:val="20"/>
        </w:rPr>
        <w:t>Income and Comprehensive Income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tbl>
      <w:tblPr>
        <w:tblW w:w="10205" w:type="dxa"/>
        <w:jc w:val="left"/>
        <w:tblInd w:w="0" w:type="dxa"/>
        <w:tblLayout w:type="fixed"/>
        <w:tblCellMar>
          <w:top w:w="28" w:type="dxa"/>
          <w:left w:w="28" w:type="dxa"/>
          <w:bottom w:w="28" w:type="dxa"/>
          <w:right w:w="28" w:type="dxa"/>
        </w:tblCellMar>
      </w:tblPr>
      <w:tblGrid>
        <w:gridCol w:w="3724"/>
        <w:gridCol w:w="146"/>
        <w:gridCol w:w="211"/>
        <w:gridCol w:w="1036"/>
        <w:gridCol w:w="166"/>
        <w:gridCol w:w="146"/>
        <w:gridCol w:w="211"/>
        <w:gridCol w:w="1036"/>
        <w:gridCol w:w="166"/>
        <w:gridCol w:w="146"/>
        <w:gridCol w:w="211"/>
        <w:gridCol w:w="1036"/>
        <w:gridCol w:w="166"/>
        <w:gridCol w:w="146"/>
        <w:gridCol w:w="211"/>
        <w:gridCol w:w="1036"/>
        <w:gridCol w:w="411"/>
      </w:tblGrid>
      <w:tr>
        <w:trPr/>
        <w:tc>
          <w:tcPr>
            <w:tcW w:w="3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written premiums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630,456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496,288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1,260,284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938,452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Ceded written premiums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(305,279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(266,506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(597,192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(497,251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written premiums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325,177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229,782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663,092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441,201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unearned premiums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(97,172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earned premiums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286,951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179,958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548,389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344,029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25,441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realized and unrealized gains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Commission and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314,423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203,311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593,361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377,945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Losses and loss adjustment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186,085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84,927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expenses, net of ceding commissions and fronting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97,996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underwriting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81,258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244,620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470,097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264,352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113,593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24,143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89,450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comprehensive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unrealized gains (losses) on securities available for 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102,663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Per Share Data: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26,346,887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26,756,095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26,458,904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26,707,371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27,056,554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27,628,733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27,208,113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27,568,913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i/>
          <w:color w:val="000000"/>
          <w:sz w:val="20"/>
        </w:rPr>
      </w:pPr>
      <w:r>
        <w:rPr>
          <w:rFonts w:ascii="Times New Roman" w:hAnsi="Times New Roman"/>
          <w:i/>
          <w:color w:val="000000"/>
          <w:sz w:val="20"/>
        </w:rPr>
        <w:t>Underwriting Segment Data</w:t>
      </w:r>
    </w:p>
    <w:p>
      <w:pPr>
        <w:pStyle w:val="TextBody"/>
        <w:bidi w:val="0"/>
        <w:jc w:val="left"/>
        <w:rPr>
          <w:rFonts w:ascii="Times New Roman" w:hAnsi="Times New Roman"/>
          <w:color w:val="000000"/>
          <w:sz w:val="20"/>
        </w:rPr>
      </w:pPr>
      <w:r>
        <w:rPr>
          <w:rFonts w:ascii="Times New Roman" w:hAnsi="Times New Roman"/>
          <w:color w:val="000000"/>
          <w:sz w:val="20"/>
        </w:rPr>
        <w:t>The Company has a single reportable segment and offers specialty insurance products. Gross written premiums (“GWP”) by product, location and company are presented below:</w:t>
      </w:r>
    </w:p>
    <w:p>
      <w:pPr>
        <w:pStyle w:val="TextBody"/>
        <w:bidi w:val="0"/>
        <w:jc w:val="left"/>
        <w:rPr/>
      </w:pPr>
      <w:r>
        <w:rPr/>
        <w:t> </w:t>
      </w:r>
    </w:p>
    <w:tbl>
      <w:tblPr>
        <w:tblW w:w="10169" w:type="dxa"/>
        <w:jc w:val="left"/>
        <w:tblInd w:w="0" w:type="dxa"/>
        <w:tblLayout w:type="fixed"/>
        <w:tblCellMar>
          <w:top w:w="28" w:type="dxa"/>
          <w:left w:w="28" w:type="dxa"/>
          <w:bottom w:w="28" w:type="dxa"/>
          <w:right w:w="28" w:type="dxa"/>
        </w:tblCellMar>
      </w:tblPr>
      <w:tblGrid>
        <w:gridCol w:w="2556"/>
        <w:gridCol w:w="146"/>
        <w:gridCol w:w="211"/>
        <w:gridCol w:w="781"/>
        <w:gridCol w:w="146"/>
        <w:gridCol w:w="146"/>
        <w:gridCol w:w="146"/>
        <w:gridCol w:w="571"/>
        <w:gridCol w:w="271"/>
        <w:gridCol w:w="146"/>
        <w:gridCol w:w="211"/>
        <w:gridCol w:w="781"/>
        <w:gridCol w:w="146"/>
        <w:gridCol w:w="146"/>
        <w:gridCol w:w="146"/>
        <w:gridCol w:w="571"/>
        <w:gridCol w:w="271"/>
        <w:gridCol w:w="146"/>
        <w:gridCol w:w="211"/>
        <w:gridCol w:w="781"/>
        <w:gridCol w:w="166"/>
        <w:gridCol w:w="146"/>
        <w:gridCol w:w="152"/>
        <w:gridCol w:w="599"/>
        <w:gridCol w:w="576"/>
      </w:tblGrid>
      <w:tr>
        <w:trPr/>
        <w:tc>
          <w:tcPr>
            <w:tcW w:w="2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in thousands)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of</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of</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GWP</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GWP</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Product(1)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Casualty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197,494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Inland Marine and Property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Earthquake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Crop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Surety &amp;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235.6</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gross written premiums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630,456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496,288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5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6" w:space="1" w:color="000000"/>
        </w:pBdr>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Beginning in 2026, the Company has updated the categorization of its products to align with management’s current strategy and view of the business. Prior year amounts have been reclassified for comparability purposes. The recategorization is for presentation purposes only and does not impact overall gross written premiums.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22"/>
        <w:gridCol w:w="146"/>
        <w:gridCol w:w="211"/>
        <w:gridCol w:w="931"/>
        <w:gridCol w:w="146"/>
        <w:gridCol w:w="146"/>
        <w:gridCol w:w="146"/>
        <w:gridCol w:w="571"/>
        <w:gridCol w:w="271"/>
        <w:gridCol w:w="146"/>
        <w:gridCol w:w="211"/>
        <w:gridCol w:w="781"/>
        <w:gridCol w:w="146"/>
        <w:gridCol w:w="146"/>
        <w:gridCol w:w="146"/>
        <w:gridCol w:w="571"/>
        <w:gridCol w:w="271"/>
        <w:gridCol w:w="146"/>
        <w:gridCol w:w="211"/>
        <w:gridCol w:w="781"/>
        <w:gridCol w:w="146"/>
        <w:gridCol w:w="146"/>
        <w:gridCol w:w="152"/>
        <w:gridCol w:w="599"/>
        <w:gridCol w:w="516"/>
      </w:tblGrid>
      <w:tr>
        <w:trPr/>
        <w:tc>
          <w:tcPr>
            <w:tcW w:w="25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5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in thousands)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of</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of</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GWP</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GWP</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Product(1)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Casualty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403,793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277,490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Inland Marine and Property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336,291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266,366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Earthquake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283,964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281,405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Crop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165,142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Surety &amp;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178.7</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gross written premiums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1,260,284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938,452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321,832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6" w:space="1" w:color="000000"/>
        </w:pBdr>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Beginning in 2026, the Company has updated the categorization of its products to align with management’s current strategy and view of the business. Prior year amounts have been reclassified for comparability purposes. The recategorization is for presentation purposes only and does not impact overall gross written premiums.</w:t>
      </w:r>
    </w:p>
    <w:p>
      <w:pPr>
        <w:pStyle w:val="TextBody"/>
        <w:bidi w:val="0"/>
        <w:jc w:val="left"/>
        <w:rPr/>
      </w:pPr>
      <w:r>
        <w:rPr/>
        <w:t> </w:t>
      </w:r>
    </w:p>
    <w:p>
      <w:pPr>
        <w:pStyle w:val="TextBody"/>
        <w:bidi w:val="0"/>
        <w:jc w:val="left"/>
        <w:rPr/>
      </w:pPr>
      <w:r>
        <w:rPr/>
        <w:t> </w:t>
      </w:r>
    </w:p>
    <w:tbl>
      <w:tblPr>
        <w:tblW w:w="10508" w:type="dxa"/>
        <w:jc w:val="left"/>
        <w:tblInd w:w="0" w:type="dxa"/>
        <w:tblLayout w:type="fixed"/>
        <w:tblCellMar>
          <w:top w:w="28" w:type="dxa"/>
          <w:left w:w="28" w:type="dxa"/>
          <w:bottom w:w="28" w:type="dxa"/>
          <w:right w:w="28" w:type="dxa"/>
        </w:tblCellMar>
      </w:tblPr>
      <w:tblGrid>
        <w:gridCol w:w="1176"/>
        <w:gridCol w:w="146"/>
        <w:gridCol w:w="196"/>
        <w:gridCol w:w="691"/>
        <w:gridCol w:w="146"/>
        <w:gridCol w:w="146"/>
        <w:gridCol w:w="146"/>
        <w:gridCol w:w="511"/>
        <w:gridCol w:w="256"/>
        <w:gridCol w:w="146"/>
        <w:gridCol w:w="196"/>
        <w:gridCol w:w="691"/>
        <w:gridCol w:w="146"/>
        <w:gridCol w:w="146"/>
        <w:gridCol w:w="146"/>
        <w:gridCol w:w="511"/>
        <w:gridCol w:w="256"/>
        <w:gridCol w:w="146"/>
        <w:gridCol w:w="196"/>
        <w:gridCol w:w="826"/>
        <w:gridCol w:w="146"/>
        <w:gridCol w:w="146"/>
        <w:gridCol w:w="146"/>
        <w:gridCol w:w="511"/>
        <w:gridCol w:w="256"/>
        <w:gridCol w:w="146"/>
        <w:gridCol w:w="196"/>
        <w:gridCol w:w="691"/>
        <w:gridCol w:w="146"/>
        <w:gridCol w:w="146"/>
        <w:gridCol w:w="146"/>
        <w:gridCol w:w="511"/>
        <w:gridCol w:w="501"/>
      </w:tblGrid>
      <w:tr>
        <w:trPr/>
        <w:tc>
          <w:tcPr>
            <w:tcW w:w="1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1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0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in thousands)</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in thousands)</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of</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of</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of</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of</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GWP</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GWP</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GWP</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GWP</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1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California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165,306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163,814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322,925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303,536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1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Texas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61,497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125,081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80,699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w:t>
            </w:r>
          </w:p>
        </w:tc>
        <w:tc>
          <w:tcPr>
            <w:tcW w:w="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1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Florida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64,350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42,621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1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Hawaii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50,104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w:t>
            </w:r>
          </w:p>
        </w:tc>
        <w:tc>
          <w:tcPr>
            <w:tcW w:w="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1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New York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51,454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32,857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1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Washington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37,406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1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Illinois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1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Minnesota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1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262,931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188,541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566,037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370,100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39.5</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gross written premiums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630,456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496,288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1,260,284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938,452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5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tbl>
      <w:tblPr>
        <w:tblW w:w="10293" w:type="dxa"/>
        <w:jc w:val="left"/>
        <w:tblInd w:w="0" w:type="dxa"/>
        <w:tblLayout w:type="fixed"/>
        <w:tblCellMar>
          <w:top w:w="28" w:type="dxa"/>
          <w:left w:w="28" w:type="dxa"/>
          <w:bottom w:w="28" w:type="dxa"/>
          <w:right w:w="28" w:type="dxa"/>
        </w:tblCellMar>
      </w:tblPr>
      <w:tblGrid>
        <w:gridCol w:w="961"/>
        <w:gridCol w:w="146"/>
        <w:gridCol w:w="196"/>
        <w:gridCol w:w="691"/>
        <w:gridCol w:w="146"/>
        <w:gridCol w:w="146"/>
        <w:gridCol w:w="146"/>
        <w:gridCol w:w="511"/>
        <w:gridCol w:w="256"/>
        <w:gridCol w:w="146"/>
        <w:gridCol w:w="196"/>
        <w:gridCol w:w="691"/>
        <w:gridCol w:w="146"/>
        <w:gridCol w:w="146"/>
        <w:gridCol w:w="146"/>
        <w:gridCol w:w="511"/>
        <w:gridCol w:w="256"/>
        <w:gridCol w:w="146"/>
        <w:gridCol w:w="196"/>
        <w:gridCol w:w="826"/>
        <w:gridCol w:w="146"/>
        <w:gridCol w:w="146"/>
        <w:gridCol w:w="146"/>
        <w:gridCol w:w="511"/>
        <w:gridCol w:w="256"/>
        <w:gridCol w:w="146"/>
        <w:gridCol w:w="196"/>
        <w:gridCol w:w="691"/>
        <w:gridCol w:w="146"/>
        <w:gridCol w:w="146"/>
        <w:gridCol w:w="146"/>
        <w:gridCol w:w="511"/>
        <w:gridCol w:w="501"/>
      </w:tblGrid>
      <w:tr>
        <w:trPr/>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0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in thousands)</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in thousands)</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of</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of</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of</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of</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GWP</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GWP</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GWP</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GWP</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Subsidiary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PESIC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304,276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237,943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574,346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428,730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45.7</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9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278,176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232,983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601,929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463,900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49.4</w:t>
            </w:r>
          </w:p>
        </w:tc>
        <w:tc>
          <w:tcPr>
            <w:tcW w:w="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Laulima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36,171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9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PCSC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33,979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gross written premiums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630,456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496,288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1,260,284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938,452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5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rFonts w:ascii="Times New Roman" w:hAnsi="Times New Roman"/>
          <w:i/>
          <w:color w:val="000000"/>
          <w:sz w:val="20"/>
        </w:rPr>
      </w:pPr>
      <w:r>
        <w:rPr>
          <w:rFonts w:ascii="Times New Roman" w:hAnsi="Times New Roman"/>
          <w:i/>
          <w:color w:val="000000"/>
          <w:sz w:val="20"/>
        </w:rPr>
        <w:t>Gross and net earned premiums</w:t>
      </w:r>
    </w:p>
    <w:p>
      <w:pPr>
        <w:pStyle w:val="TextBody"/>
        <w:bidi w:val="0"/>
        <w:jc w:val="left"/>
        <w:rPr>
          <w:rFonts w:ascii="Times New Roman" w:hAnsi="Times New Roman"/>
          <w:color w:val="000000"/>
          <w:sz w:val="20"/>
        </w:rPr>
      </w:pPr>
      <w:r>
        <w:rPr>
          <w:rFonts w:ascii="Times New Roman" w:hAnsi="Times New Roman"/>
          <w:color w:val="000000"/>
          <w:sz w:val="20"/>
        </w:rPr>
        <w:t>The table below shows the amount of premiums the Company earned on a gross and net basis and the Company’s net earned premiums as a percentage of gross earned premiums for each period presented:</w:t>
      </w:r>
    </w:p>
    <w:p>
      <w:pPr>
        <w:pStyle w:val="TextBody"/>
        <w:bidi w:val="0"/>
        <w:jc w:val="left"/>
        <w:rPr/>
      </w:pPr>
      <w:r>
        <w:rPr/>
        <w:t> </w:t>
      </w:r>
    </w:p>
    <w:tbl>
      <w:tblPr>
        <w:tblW w:w="10956" w:type="dxa"/>
        <w:jc w:val="left"/>
        <w:tblInd w:w="0" w:type="dxa"/>
        <w:tblLayout w:type="fixed"/>
        <w:tblCellMar>
          <w:top w:w="28" w:type="dxa"/>
          <w:left w:w="28" w:type="dxa"/>
          <w:bottom w:w="28" w:type="dxa"/>
          <w:right w:w="28" w:type="dxa"/>
        </w:tblCellMar>
      </w:tblPr>
      <w:tblGrid>
        <w:gridCol w:w="826"/>
        <w:gridCol w:w="146"/>
        <w:gridCol w:w="196"/>
        <w:gridCol w:w="751"/>
        <w:gridCol w:w="256"/>
        <w:gridCol w:w="146"/>
        <w:gridCol w:w="196"/>
        <w:gridCol w:w="751"/>
        <w:gridCol w:w="256"/>
        <w:gridCol w:w="146"/>
        <w:gridCol w:w="196"/>
        <w:gridCol w:w="691"/>
        <w:gridCol w:w="166"/>
        <w:gridCol w:w="146"/>
        <w:gridCol w:w="181"/>
        <w:gridCol w:w="525"/>
        <w:gridCol w:w="256"/>
        <w:gridCol w:w="146"/>
        <w:gridCol w:w="196"/>
        <w:gridCol w:w="826"/>
        <w:gridCol w:w="256"/>
        <w:gridCol w:w="146"/>
        <w:gridCol w:w="196"/>
        <w:gridCol w:w="751"/>
        <w:gridCol w:w="256"/>
        <w:gridCol w:w="146"/>
        <w:gridCol w:w="196"/>
        <w:gridCol w:w="691"/>
        <w:gridCol w:w="166"/>
        <w:gridCol w:w="146"/>
        <w:gridCol w:w="181"/>
        <w:gridCol w:w="525"/>
        <w:gridCol w:w="301"/>
      </w:tblGrid>
      <w:tr>
        <w:trPr/>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3"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in thousands)</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7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in thousands)</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earned premiums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552,859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408,764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144,095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1,056,731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784,540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272,191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Ceded earned premiums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(265,908</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(228,806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(508,342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(440,511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(67,831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earned premiums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286,951</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179,958</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106,993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548,389</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344,029</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204,360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59.4</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earned premium ratio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rFonts w:ascii="Times New Roman" w:hAnsi="Times New Roman"/>
          <w:i/>
          <w:color w:val="000000"/>
          <w:sz w:val="20"/>
        </w:rPr>
      </w:pPr>
      <w:r>
        <w:rPr>
          <w:rFonts w:ascii="Times New Roman" w:hAnsi="Times New Roman"/>
          <w:i/>
          <w:color w:val="000000"/>
          <w:sz w:val="20"/>
        </w:rPr>
        <w:t>Loss detail</w:t>
      </w:r>
    </w:p>
    <w:p>
      <w:pPr>
        <w:pStyle w:val="TextBody"/>
        <w:bidi w:val="0"/>
        <w:jc w:val="left"/>
        <w:rPr/>
      </w:pPr>
      <w:r>
        <w:rPr/>
        <w:t> </w:t>
      </w:r>
    </w:p>
    <w:tbl>
      <w:tblPr>
        <w:tblW w:w="12121" w:type="dxa"/>
        <w:jc w:val="left"/>
        <w:tblInd w:w="0" w:type="dxa"/>
        <w:tblLayout w:type="fixed"/>
        <w:tblCellMar>
          <w:top w:w="28" w:type="dxa"/>
          <w:left w:w="28" w:type="dxa"/>
          <w:bottom w:w="28" w:type="dxa"/>
          <w:right w:w="28" w:type="dxa"/>
        </w:tblCellMar>
      </w:tblPr>
      <w:tblGrid>
        <w:gridCol w:w="1456"/>
        <w:gridCol w:w="146"/>
        <w:gridCol w:w="211"/>
        <w:gridCol w:w="676"/>
        <w:gridCol w:w="271"/>
        <w:gridCol w:w="146"/>
        <w:gridCol w:w="211"/>
        <w:gridCol w:w="676"/>
        <w:gridCol w:w="271"/>
        <w:gridCol w:w="146"/>
        <w:gridCol w:w="211"/>
        <w:gridCol w:w="676"/>
        <w:gridCol w:w="166"/>
        <w:gridCol w:w="146"/>
        <w:gridCol w:w="201"/>
        <w:gridCol w:w="790"/>
        <w:gridCol w:w="271"/>
        <w:gridCol w:w="146"/>
        <w:gridCol w:w="211"/>
        <w:gridCol w:w="781"/>
        <w:gridCol w:w="271"/>
        <w:gridCol w:w="146"/>
        <w:gridCol w:w="211"/>
        <w:gridCol w:w="676"/>
        <w:gridCol w:w="271"/>
        <w:gridCol w:w="146"/>
        <w:gridCol w:w="211"/>
        <w:gridCol w:w="781"/>
        <w:gridCol w:w="146"/>
        <w:gridCol w:w="146"/>
        <w:gridCol w:w="201"/>
        <w:gridCol w:w="790"/>
        <w:gridCol w:w="316"/>
      </w:tblGrid>
      <w:tr>
        <w:trPr/>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in thousands)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8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in thousands)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Catastrophe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Non-catastrophe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99,406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46,205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186,234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85,492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losses and loss adjustment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98,988</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46,183</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186,085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84,927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Catastrophe loss ratio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Non-catastrophe loss ratio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loss ratio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The following table represents a reconciliation of changes in the ending reserve balances for losses and loss adjustment expenses: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386"/>
        <w:gridCol w:w="146"/>
        <w:gridCol w:w="223"/>
        <w:gridCol w:w="828"/>
        <w:gridCol w:w="175"/>
        <w:gridCol w:w="154"/>
        <w:gridCol w:w="223"/>
        <w:gridCol w:w="828"/>
        <w:gridCol w:w="166"/>
        <w:gridCol w:w="146"/>
        <w:gridCol w:w="214"/>
        <w:gridCol w:w="793"/>
        <w:gridCol w:w="168"/>
        <w:gridCol w:w="148"/>
        <w:gridCol w:w="214"/>
        <w:gridCol w:w="793"/>
        <w:gridCol w:w="600"/>
      </w:tblGrid>
      <w:tr>
        <w:trPr/>
        <w:tc>
          <w:tcPr>
            <w:tcW w:w="4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6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6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in thousands)</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Reserve for losses and LAE net of reinsurance recoverables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341,016</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182,661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275,959</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155,299</w:t>
            </w:r>
          </w:p>
        </w:tc>
        <w:tc>
          <w:tcPr>
            <w:tcW w:w="6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Add: Balances acquired</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22,178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6,788</w:t>
            </w:r>
          </w:p>
        </w:tc>
        <w:tc>
          <w:tcPr>
            <w:tcW w:w="6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Add: Incurred losses and LAE, net of reinsurance, related to:</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Current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113,312</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210,741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95,757</w:t>
            </w:r>
          </w:p>
        </w:tc>
        <w:tc>
          <w:tcPr>
            <w:tcW w:w="60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3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Prior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(14,324</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(24,656</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(10,830</w:t>
            </w:r>
          </w:p>
        </w:tc>
        <w:tc>
          <w:tcPr>
            <w:tcW w:w="60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incurred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98,988</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186,085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84,927</w:t>
            </w:r>
          </w:p>
        </w:tc>
        <w:tc>
          <w:tcPr>
            <w:tcW w:w="6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Deduct: Loss and LAE payments, net of reinsurance, related to: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Current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7,262</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27,980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22,657</w:t>
            </w:r>
          </w:p>
        </w:tc>
        <w:tc>
          <w:tcPr>
            <w:tcW w:w="60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3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Prior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11,795</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35,295</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25,172</w:t>
            </w:r>
          </w:p>
        </w:tc>
        <w:tc>
          <w:tcPr>
            <w:tcW w:w="60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19,057</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63,275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47,829</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Reserve for losses and LAE net of reinsurance recoverables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420,947</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420,947</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199,185</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Reinsurance recoverables on unpaid losses and LAE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523,790</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399,471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523,790</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399,471</w:t>
            </w:r>
          </w:p>
        </w:tc>
        <w:tc>
          <w:tcPr>
            <w:tcW w:w="6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Reserve for losses and LAE gross of reinsurance recoverables on unpaid losses and LAE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944,737</w:t>
            </w:r>
          </w:p>
        </w:tc>
        <w:tc>
          <w:tcPr>
            <w:tcW w:w="1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598,656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944,737</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598,656</w:t>
            </w:r>
          </w:p>
        </w:tc>
        <w:tc>
          <w:tcPr>
            <w:tcW w:w="6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Represents amounts recognized in Reserve for losses and LAE net of reinsurance recoverables upon acquisition of The Gray Casualty and Surety Company (“Gray Surety”) and FIA on 1/31/2026 and 1/1/2025, respectively, in accordance with ASC 805, Business Combinations. See Note 23 of the Notes to the Consolidated Financial Statements in our 2025 Annual Report on Form 10-K and Note 14 of our June 30, 2026 Quarterly Report on Form 10-Q for additional information regarding the acquisitions.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Losses for the three months ended June 30, 2026 and 2025 include $6.2 million and an insignificant amount, respectively, of losses on derivative instruments. Losses for the six months ended June 30, 2026 and 2025 include $18.5 million and an insignificant amount, respectively, of losses on derivative instruments.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Reconciliation of Non-GAAP Financial Measures</w:t>
      </w:r>
    </w:p>
    <w:p>
      <w:pPr>
        <w:pStyle w:val="TextBody"/>
        <w:bidi w:val="0"/>
        <w:jc w:val="left"/>
        <w:rPr>
          <w:rFonts w:ascii="Times New Roman" w:hAnsi="Times New Roman"/>
          <w:color w:val="000000"/>
          <w:sz w:val="20"/>
        </w:rPr>
      </w:pPr>
      <w:bookmarkStart w:id="56" w:name="led408018f20236171689626290775"/>
      <w:bookmarkEnd w:id="56"/>
      <w:r>
        <w:rPr>
          <w:rFonts w:ascii="Times New Roman" w:hAnsi="Times New Roman"/>
          <w:color w:val="000000"/>
          <w:sz w:val="20"/>
        </w:rPr>
        <w:t>For the three and six months ended June 30, 2026 and 2025, the Non-GAAP financial measures discussed above reconcile to their most comparable GAAP measures as follows:</w:t>
      </w:r>
    </w:p>
    <w:p>
      <w:pPr>
        <w:pStyle w:val="TextBody"/>
        <w:bidi w:val="0"/>
        <w:jc w:val="both"/>
        <w:rPr>
          <w:rFonts w:ascii="Times New Roman" w:hAnsi="Times New Roman"/>
          <w:i/>
          <w:color w:val="000000"/>
          <w:sz w:val="20"/>
        </w:rPr>
      </w:pPr>
      <w:r>
        <w:rPr>
          <w:rFonts w:ascii="Times New Roman" w:hAnsi="Times New Roman"/>
          <w:i/>
          <w:color w:val="000000"/>
          <w:sz w:val="20"/>
        </w:rPr>
        <w:t>Underwriting revenue</w:t>
      </w:r>
    </w:p>
    <w:p>
      <w:pPr>
        <w:pStyle w:val="TextBody"/>
        <w:bidi w:val="0"/>
        <w:jc w:val="both"/>
        <w:rPr/>
      </w:pPr>
      <w:r>
        <w:rPr/>
        <w:t> </w:t>
      </w:r>
    </w:p>
    <w:tbl>
      <w:tblPr>
        <w:tblW w:w="9357" w:type="dxa"/>
        <w:jc w:val="left"/>
        <w:tblInd w:w="0" w:type="dxa"/>
        <w:tblLayout w:type="fixed"/>
        <w:tblCellMar>
          <w:top w:w="28" w:type="dxa"/>
          <w:left w:w="28" w:type="dxa"/>
          <w:bottom w:w="28" w:type="dxa"/>
          <w:right w:w="28" w:type="dxa"/>
        </w:tblCellMar>
      </w:tblPr>
      <w:tblGrid>
        <w:gridCol w:w="4096"/>
        <w:gridCol w:w="146"/>
        <w:gridCol w:w="211"/>
        <w:gridCol w:w="781"/>
        <w:gridCol w:w="166"/>
        <w:gridCol w:w="146"/>
        <w:gridCol w:w="211"/>
        <w:gridCol w:w="781"/>
        <w:gridCol w:w="166"/>
        <w:gridCol w:w="146"/>
        <w:gridCol w:w="211"/>
        <w:gridCol w:w="781"/>
        <w:gridCol w:w="166"/>
        <w:gridCol w:w="146"/>
        <w:gridCol w:w="211"/>
        <w:gridCol w:w="781"/>
        <w:gridCol w:w="211"/>
      </w:tblGrid>
      <w:tr>
        <w:trPr/>
        <w:tc>
          <w:tcPr>
            <w:tcW w:w="4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314,423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203,311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593,361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377,945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(25,441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realized and unrealized gains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Underwriting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287,720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181,635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550,567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346,536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i/>
          <w:color w:val="000000"/>
          <w:sz w:val="20"/>
        </w:rPr>
        <w:t>Underwriting</w:t>
      </w:r>
      <w:r>
        <w:rPr>
          <w:rFonts w:ascii="Times New Roman" w:hAnsi="Times New Roman"/>
          <w:color w:val="000000"/>
          <w:sz w:val="20"/>
        </w:rPr>
        <w:t xml:space="preserve"> </w:t>
      </w:r>
      <w:r>
        <w:rPr>
          <w:rFonts w:ascii="Times New Roman" w:hAnsi="Times New Roman"/>
          <w:i/>
          <w:color w:val="000000"/>
          <w:sz w:val="20"/>
        </w:rPr>
        <w:t>income and adjusted underwriting income</w:t>
      </w:r>
    </w:p>
    <w:p>
      <w:pPr>
        <w:pStyle w:val="TextBody"/>
        <w:bidi w:val="0"/>
        <w:jc w:val="left"/>
        <w:rPr/>
      </w:pPr>
      <w:r>
        <w:rPr/>
        <w:t> </w:t>
      </w:r>
    </w:p>
    <w:tbl>
      <w:tblPr>
        <w:tblW w:w="9267" w:type="dxa"/>
        <w:jc w:val="left"/>
        <w:tblInd w:w="0" w:type="dxa"/>
        <w:tblLayout w:type="fixed"/>
        <w:tblCellMar>
          <w:top w:w="28" w:type="dxa"/>
          <w:left w:w="28" w:type="dxa"/>
          <w:bottom w:w="28" w:type="dxa"/>
          <w:right w:w="28" w:type="dxa"/>
        </w:tblCellMar>
      </w:tblPr>
      <w:tblGrid>
        <w:gridCol w:w="4096"/>
        <w:gridCol w:w="146"/>
        <w:gridCol w:w="211"/>
        <w:gridCol w:w="736"/>
        <w:gridCol w:w="166"/>
        <w:gridCol w:w="146"/>
        <w:gridCol w:w="211"/>
        <w:gridCol w:w="736"/>
        <w:gridCol w:w="166"/>
        <w:gridCol w:w="146"/>
        <w:gridCol w:w="211"/>
        <w:gridCol w:w="781"/>
        <w:gridCol w:w="166"/>
        <w:gridCol w:w="146"/>
        <w:gridCol w:w="211"/>
        <w:gridCol w:w="781"/>
        <w:gridCol w:w="211"/>
      </w:tblGrid>
      <w:tr>
        <w:trPr/>
        <w:tc>
          <w:tcPr>
            <w:tcW w:w="4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113,593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(25,441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realized and unrealized gains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Underwriting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82,355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 associated with transactions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intangibles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 associated with catastrophe bond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underwriting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i/>
          <w:color w:val="000000"/>
          <w:sz w:val="20"/>
        </w:rPr>
      </w:pPr>
      <w:r>
        <w:rPr>
          <w:rFonts w:ascii="Times New Roman" w:hAnsi="Times New Roman"/>
          <w:i/>
          <w:color w:val="000000"/>
          <w:sz w:val="20"/>
        </w:rPr>
        <w:t>Adjusted net income</w:t>
      </w:r>
    </w:p>
    <w:p>
      <w:pPr>
        <w:pStyle w:val="TextBody"/>
        <w:bidi w:val="0"/>
        <w:jc w:val="left"/>
        <w:rPr/>
      </w:pPr>
      <w:r>
        <w:rPr/>
        <w:t> </w:t>
      </w:r>
    </w:p>
    <w:tbl>
      <w:tblPr>
        <w:tblW w:w="9042" w:type="dxa"/>
        <w:jc w:val="left"/>
        <w:tblInd w:w="0" w:type="dxa"/>
        <w:tblLayout w:type="fixed"/>
        <w:tblCellMar>
          <w:top w:w="28" w:type="dxa"/>
          <w:left w:w="28" w:type="dxa"/>
          <w:bottom w:w="28" w:type="dxa"/>
          <w:right w:w="28" w:type="dxa"/>
        </w:tblCellMar>
      </w:tblPr>
      <w:tblGrid>
        <w:gridCol w:w="4096"/>
        <w:gridCol w:w="146"/>
        <w:gridCol w:w="211"/>
        <w:gridCol w:w="676"/>
        <w:gridCol w:w="166"/>
        <w:gridCol w:w="146"/>
        <w:gridCol w:w="211"/>
        <w:gridCol w:w="676"/>
        <w:gridCol w:w="166"/>
        <w:gridCol w:w="146"/>
        <w:gridCol w:w="211"/>
        <w:gridCol w:w="781"/>
        <w:gridCol w:w="166"/>
        <w:gridCol w:w="146"/>
        <w:gridCol w:w="211"/>
        <w:gridCol w:w="676"/>
        <w:gridCol w:w="211"/>
      </w:tblGrid>
      <w:tr>
        <w:trPr/>
        <w:tc>
          <w:tcPr>
            <w:tcW w:w="4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realized and unrealized gains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 associated with transactions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intangibles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 associated with catastrophe bond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impact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99,837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i/>
          <w:color w:val="000000"/>
          <w:sz w:val="20"/>
        </w:rPr>
      </w:pPr>
      <w:r>
        <w:rPr>
          <w:rFonts w:ascii="Times New Roman" w:hAnsi="Times New Roman"/>
          <w:i/>
          <w:color w:val="000000"/>
          <w:sz w:val="20"/>
        </w:rPr>
        <w:t>Annualized adjusted return on equity</w:t>
      </w:r>
    </w:p>
    <w:p>
      <w:pPr>
        <w:pStyle w:val="TextBody"/>
        <w:bidi w:val="0"/>
        <w:jc w:val="left"/>
        <w:rPr/>
      </w:pPr>
      <w:r>
        <w:rPr/>
        <w:t> </w:t>
      </w:r>
    </w:p>
    <w:tbl>
      <w:tblPr>
        <w:tblW w:w="8832" w:type="dxa"/>
        <w:jc w:val="left"/>
        <w:tblInd w:w="0" w:type="dxa"/>
        <w:tblLayout w:type="fixed"/>
        <w:tblCellMar>
          <w:top w:w="28" w:type="dxa"/>
          <w:left w:w="28" w:type="dxa"/>
          <w:bottom w:w="28" w:type="dxa"/>
          <w:right w:w="28" w:type="dxa"/>
        </w:tblCellMar>
      </w:tblPr>
      <w:tblGrid>
        <w:gridCol w:w="3151"/>
        <w:gridCol w:w="146"/>
        <w:gridCol w:w="211"/>
        <w:gridCol w:w="781"/>
        <w:gridCol w:w="271"/>
        <w:gridCol w:w="146"/>
        <w:gridCol w:w="211"/>
        <w:gridCol w:w="781"/>
        <w:gridCol w:w="271"/>
        <w:gridCol w:w="146"/>
        <w:gridCol w:w="211"/>
        <w:gridCol w:w="781"/>
        <w:gridCol w:w="271"/>
        <w:gridCol w:w="146"/>
        <w:gridCol w:w="211"/>
        <w:gridCol w:w="781"/>
        <w:gridCol w:w="316"/>
      </w:tblGrid>
      <w:tr>
        <w:trPr/>
        <w:tc>
          <w:tcPr>
            <w:tcW w:w="3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in thousands)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in thousands)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Annualized adjusted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255,072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194,128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253,808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199,674</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969,991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818,823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961,805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788,114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Annualized adjusted return on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i/>
          <w:color w:val="000000"/>
          <w:sz w:val="20"/>
        </w:rPr>
      </w:pPr>
      <w:r>
        <w:rPr>
          <w:rFonts w:ascii="Times New Roman" w:hAnsi="Times New Roman"/>
          <w:i/>
          <w:color w:val="000000"/>
          <w:sz w:val="20"/>
        </w:rPr>
        <w:t>Adjusted combined ratio</w:t>
      </w:r>
    </w:p>
    <w:tbl>
      <w:tblPr>
        <w:tblW w:w="10205" w:type="dxa"/>
        <w:jc w:val="left"/>
        <w:tblInd w:w="0" w:type="dxa"/>
        <w:tblLayout w:type="fixed"/>
        <w:tblCellMar>
          <w:top w:w="28" w:type="dxa"/>
          <w:left w:w="28" w:type="dxa"/>
          <w:bottom w:w="28" w:type="dxa"/>
          <w:right w:w="28" w:type="dxa"/>
        </w:tblCellMar>
      </w:tblPr>
      <w:tblGrid>
        <w:gridCol w:w="4524"/>
        <w:gridCol w:w="146"/>
        <w:gridCol w:w="211"/>
        <w:gridCol w:w="781"/>
        <w:gridCol w:w="271"/>
        <w:gridCol w:w="146"/>
        <w:gridCol w:w="211"/>
        <w:gridCol w:w="781"/>
        <w:gridCol w:w="271"/>
        <w:gridCol w:w="146"/>
        <w:gridCol w:w="211"/>
        <w:gridCol w:w="781"/>
        <w:gridCol w:w="271"/>
        <w:gridCol w:w="146"/>
        <w:gridCol w:w="211"/>
        <w:gridCol w:w="781"/>
        <w:gridCol w:w="316"/>
      </w:tblGrid>
      <w:tr>
        <w:trPr/>
        <w:tc>
          <w:tcPr>
            <w:tcW w:w="45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in thousands)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in thousands)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 Sum of losses and loss adjustment expenses, acquisition expenses, and other underwriting expenses, net of commission and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238,904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141,668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459,814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261,674</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 Net earned premiums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286,951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179,958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548,389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344,029</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Combined ratio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numerator: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 associated with transactions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intangibles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 associated with catastrophe bond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combined ratio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rFonts w:ascii="Times New Roman" w:hAnsi="Times New Roman"/>
          <w:i/>
          <w:color w:val="000000"/>
          <w:sz w:val="20"/>
        </w:rPr>
      </w:pPr>
      <w:r>
        <w:rPr>
          <w:rFonts w:ascii="Times New Roman" w:hAnsi="Times New Roman"/>
          <w:i/>
          <w:color w:val="000000"/>
          <w:sz w:val="20"/>
        </w:rPr>
        <w:t>Diluted adjusted earnings per share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21"/>
        <w:gridCol w:w="146"/>
        <w:gridCol w:w="228"/>
        <w:gridCol w:w="1126"/>
        <w:gridCol w:w="158"/>
        <w:gridCol w:w="158"/>
        <w:gridCol w:w="228"/>
        <w:gridCol w:w="1126"/>
        <w:gridCol w:w="146"/>
        <w:gridCol w:w="146"/>
        <w:gridCol w:w="228"/>
        <w:gridCol w:w="1126"/>
        <w:gridCol w:w="158"/>
        <w:gridCol w:w="158"/>
        <w:gridCol w:w="228"/>
        <w:gridCol w:w="1126"/>
        <w:gridCol w:w="198"/>
      </w:tblGrid>
      <w:tr>
        <w:trPr/>
        <w:tc>
          <w:tcPr>
            <w:tcW w:w="3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3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 except per share data)</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63,768</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126,904</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99,837</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27,056,554</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27,628,733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27,208,113</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27,568,913</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adjusted 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i/>
          <w:color w:val="000000"/>
          <w:sz w:val="20"/>
        </w:rPr>
      </w:pPr>
      <w:r>
        <w:rPr>
          <w:rFonts w:ascii="Times New Roman" w:hAnsi="Times New Roman"/>
          <w:i/>
          <w:color w:val="000000"/>
          <w:sz w:val="20"/>
        </w:rPr>
        <w:t>Catastrophe loss ratio</w:t>
      </w:r>
    </w:p>
    <w:tbl>
      <w:tblPr>
        <w:tblW w:w="9732" w:type="dxa"/>
        <w:jc w:val="left"/>
        <w:tblInd w:w="0" w:type="dxa"/>
        <w:tblLayout w:type="fixed"/>
        <w:tblCellMar>
          <w:top w:w="28" w:type="dxa"/>
          <w:left w:w="28" w:type="dxa"/>
          <w:bottom w:w="28" w:type="dxa"/>
          <w:right w:w="28" w:type="dxa"/>
        </w:tblCellMar>
      </w:tblPr>
      <w:tblGrid>
        <w:gridCol w:w="4051"/>
        <w:gridCol w:w="146"/>
        <w:gridCol w:w="211"/>
        <w:gridCol w:w="781"/>
        <w:gridCol w:w="271"/>
        <w:gridCol w:w="146"/>
        <w:gridCol w:w="211"/>
        <w:gridCol w:w="781"/>
        <w:gridCol w:w="271"/>
        <w:gridCol w:w="146"/>
        <w:gridCol w:w="211"/>
        <w:gridCol w:w="781"/>
        <w:gridCol w:w="271"/>
        <w:gridCol w:w="146"/>
        <w:gridCol w:w="211"/>
        <w:gridCol w:w="781"/>
        <w:gridCol w:w="316"/>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in thousands)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in thousands)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 Losses and loss adjustment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98,988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46,183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186,085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84,927</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 Net earned premiums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286,951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179,958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548,389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344,029</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ratio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 Catastrophe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 Net earned premiums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286,951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179,958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548,389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344,029</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Catastrophe loss ratio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i/>
          <w:color w:val="000000"/>
          <w:sz w:val="20"/>
        </w:rPr>
      </w:pPr>
      <w:r>
        <w:rPr>
          <w:rFonts w:ascii="Times New Roman" w:hAnsi="Times New Roman"/>
          <w:i/>
          <w:color w:val="000000"/>
          <w:sz w:val="20"/>
        </w:rPr>
        <w:t>Adjusted combined ratio excluding catastrophe losses</w:t>
      </w:r>
    </w:p>
    <w:tbl>
      <w:tblPr>
        <w:tblW w:w="10205" w:type="dxa"/>
        <w:jc w:val="left"/>
        <w:tblInd w:w="0" w:type="dxa"/>
        <w:tblLayout w:type="fixed"/>
        <w:tblCellMar>
          <w:top w:w="28" w:type="dxa"/>
          <w:left w:w="28" w:type="dxa"/>
          <w:bottom w:w="28" w:type="dxa"/>
          <w:right w:w="28" w:type="dxa"/>
        </w:tblCellMar>
      </w:tblPr>
      <w:tblGrid>
        <w:gridCol w:w="4524"/>
        <w:gridCol w:w="146"/>
        <w:gridCol w:w="211"/>
        <w:gridCol w:w="781"/>
        <w:gridCol w:w="271"/>
        <w:gridCol w:w="146"/>
        <w:gridCol w:w="211"/>
        <w:gridCol w:w="781"/>
        <w:gridCol w:w="271"/>
        <w:gridCol w:w="146"/>
        <w:gridCol w:w="211"/>
        <w:gridCol w:w="781"/>
        <w:gridCol w:w="271"/>
        <w:gridCol w:w="146"/>
        <w:gridCol w:w="211"/>
        <w:gridCol w:w="781"/>
        <w:gridCol w:w="316"/>
      </w:tblGrid>
      <w:tr>
        <w:trPr/>
        <w:tc>
          <w:tcPr>
            <w:tcW w:w="45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in thousands)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in thousands)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 Sum of losses and loss adjustment expenses, acquisition expenses, and other underwriting expenses, net of commission and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238,904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141,668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459,814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261,674</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 Net earned premiums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286,951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179,958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548,389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344,029</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Combined ratio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numerator: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 associated with transactions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intangibles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 associated with catastrophe bond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Catastrophe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combined ratio excluding catastrophe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rFonts w:ascii="Times New Roman" w:hAnsi="Times New Roman"/>
          <w:sz w:val="20"/>
        </w:rPr>
      </w:pPr>
      <w:r>
        <w:rPr>
          <w:rFonts w:ascii="Times New Roman" w:hAnsi="Times New Roman"/>
          <w:i/>
          <w:color w:val="000000"/>
          <w:sz w:val="20"/>
        </w:rPr>
        <w:t>Tangible Stockholders</w:t>
      </w:r>
      <w:r>
        <w:rPr>
          <w:rFonts w:ascii="Times New Roman" w:hAnsi="Times New Roman"/>
          <w:color w:val="000000"/>
          <w:sz w:val="20"/>
        </w:rPr>
        <w:t xml:space="preserve">’ </w:t>
      </w:r>
      <w:r>
        <w:rPr>
          <w:rFonts w:ascii="Times New Roman" w:hAnsi="Times New Roman"/>
          <w:i/>
          <w:color w:val="000000"/>
          <w:sz w:val="20"/>
        </w:rPr>
        <w:t>equity</w:t>
      </w:r>
    </w:p>
    <w:p>
      <w:pPr>
        <w:pStyle w:val="TextBody"/>
        <w:bidi w:val="0"/>
        <w:jc w:val="left"/>
        <w:rPr/>
      </w:pPr>
      <w:r>
        <w:rPr/>
        <w:t> </w:t>
      </w:r>
    </w:p>
    <w:tbl>
      <w:tblPr>
        <w:tblW w:w="5607" w:type="dxa"/>
        <w:jc w:val="left"/>
        <w:tblInd w:w="0" w:type="dxa"/>
        <w:tblLayout w:type="fixed"/>
        <w:tblCellMar>
          <w:top w:w="28" w:type="dxa"/>
          <w:left w:w="28" w:type="dxa"/>
          <w:bottom w:w="28" w:type="dxa"/>
          <w:right w:w="28" w:type="dxa"/>
        </w:tblCellMar>
      </w:tblPr>
      <w:tblGrid>
        <w:gridCol w:w="2626"/>
        <w:gridCol w:w="146"/>
        <w:gridCol w:w="211"/>
        <w:gridCol w:w="841"/>
        <w:gridCol w:w="166"/>
        <w:gridCol w:w="146"/>
        <w:gridCol w:w="268"/>
        <w:gridCol w:w="992"/>
        <w:gridCol w:w="211"/>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980,942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942,667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and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(236,756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(61,054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Tangible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744,186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881,613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6335</Words>
  <Characters>33500</Characters>
  <CharactersWithSpaces>41184</CharactersWithSpaces>
  <Paragraphs>5574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